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2D" w:rsidRDefault="002B4A8E">
      <w:pPr>
        <w:rPr>
          <w:b/>
        </w:rPr>
      </w:pPr>
      <w:r>
        <w:rPr>
          <w:b/>
        </w:rPr>
        <w:t xml:space="preserve">   </w:t>
      </w:r>
    </w:p>
    <w:p w:rsidR="00303CE0" w:rsidRDefault="000463C8">
      <w:pPr>
        <w:rPr>
          <w:b/>
        </w:rPr>
      </w:pPr>
      <w:r>
        <w:rPr>
          <w:b/>
        </w:rPr>
        <w:t>H. NOTAS A LOS ESTADOS CONTABLES</w:t>
      </w:r>
    </w:p>
    <w:p w:rsidR="00303CE0" w:rsidRDefault="000463C8">
      <w:pPr>
        <w:rPr>
          <w:b/>
        </w:rPr>
      </w:pPr>
      <w:r>
        <w:rPr>
          <w:b/>
        </w:rPr>
        <w:t>H.1 NOTAS DE DESGLOSE</w:t>
      </w:r>
    </w:p>
    <w:p w:rsidR="00C65391" w:rsidRDefault="00C65391">
      <w:pPr>
        <w:rPr>
          <w:b/>
        </w:rPr>
      </w:pPr>
      <w:r>
        <w:rPr>
          <w:b/>
        </w:rPr>
        <w:t xml:space="preserve">H.1.1) </w:t>
      </w:r>
      <w:r>
        <w:rPr>
          <w:b/>
        </w:rPr>
        <w:tab/>
        <w:t>INFORMACION CONTABLE</w:t>
      </w:r>
    </w:p>
    <w:p w:rsidR="004A44F0" w:rsidRPr="00525E85" w:rsidRDefault="004A44F0">
      <w:pPr>
        <w:rPr>
          <w:b/>
        </w:rPr>
      </w:pPr>
      <w:r w:rsidRPr="00525E85">
        <w:rPr>
          <w:b/>
        </w:rPr>
        <w:t>1).- Notas al Estado de Situación Financiera.</w:t>
      </w:r>
    </w:p>
    <w:p w:rsidR="004A44F0" w:rsidRDefault="004A44F0">
      <w:pPr>
        <w:rPr>
          <w:b/>
        </w:rPr>
      </w:pPr>
      <w:r w:rsidRPr="00AD062E">
        <w:rPr>
          <w:b/>
        </w:rPr>
        <w:t>ACTIVO</w:t>
      </w:r>
    </w:p>
    <w:p w:rsidR="004F3F78" w:rsidRDefault="004F3F78">
      <w:pPr>
        <w:rPr>
          <w:b/>
        </w:rPr>
      </w:pPr>
      <w:r w:rsidRPr="00A26264">
        <w:rPr>
          <w:b/>
        </w:rPr>
        <w:t>Efectivo y Equivalentes</w:t>
      </w:r>
    </w:p>
    <w:p w:rsidR="00297B55" w:rsidRPr="00D6253B" w:rsidRDefault="002B4A8E" w:rsidP="002B4A8E">
      <w:pPr>
        <w:spacing w:after="0"/>
      </w:pPr>
      <w:r w:rsidRPr="00D6253B">
        <w:t xml:space="preserve">Efectivo            </w:t>
      </w:r>
      <w:r w:rsidR="00247AD6" w:rsidRPr="00D6253B">
        <w:t xml:space="preserve">     </w:t>
      </w:r>
      <w:r w:rsidRPr="00D6253B">
        <w:t xml:space="preserve"> $   </w:t>
      </w:r>
      <w:r w:rsidR="007C114F">
        <w:t xml:space="preserve"> </w:t>
      </w:r>
      <w:r w:rsidR="00B90055" w:rsidRPr="00D6253B">
        <w:t xml:space="preserve"> </w:t>
      </w:r>
      <w:r w:rsidR="006A7512">
        <w:t>1</w:t>
      </w:r>
      <w:r w:rsidR="007C114F">
        <w:t>3</w:t>
      </w:r>
      <w:r w:rsidR="00D6253B" w:rsidRPr="00D6253B">
        <w:t>,</w:t>
      </w:r>
      <w:r w:rsidR="007C114F">
        <w:t>500.00</w:t>
      </w:r>
    </w:p>
    <w:p w:rsidR="00247AD6" w:rsidRPr="00D6253B" w:rsidRDefault="002B4A8E" w:rsidP="002B4A8E">
      <w:pPr>
        <w:spacing w:after="0"/>
        <w:rPr>
          <w:u w:val="single"/>
        </w:rPr>
      </w:pPr>
      <w:r w:rsidRPr="00D6253B">
        <w:t xml:space="preserve">Bancos               </w:t>
      </w:r>
      <w:r w:rsidR="00247AD6" w:rsidRPr="00D6253B">
        <w:t xml:space="preserve">     </w:t>
      </w:r>
      <w:r w:rsidR="000A73F1" w:rsidRPr="00D6253B">
        <w:rPr>
          <w:u w:val="single"/>
        </w:rPr>
        <w:t xml:space="preserve">$  </w:t>
      </w:r>
      <w:r w:rsidR="006B13D1" w:rsidRPr="00D6253B">
        <w:rPr>
          <w:u w:val="single"/>
        </w:rPr>
        <w:t xml:space="preserve"> </w:t>
      </w:r>
      <w:r w:rsidR="00A45558">
        <w:rPr>
          <w:u w:val="single"/>
        </w:rPr>
        <w:t>735,279.31</w:t>
      </w:r>
    </w:p>
    <w:p w:rsidR="002B4A8E" w:rsidRDefault="002B4A8E" w:rsidP="002B4A8E">
      <w:pPr>
        <w:spacing w:after="0"/>
      </w:pPr>
      <w:r w:rsidRPr="00D6253B">
        <w:t xml:space="preserve">                           </w:t>
      </w:r>
      <w:r w:rsidR="00247AD6" w:rsidRPr="00D6253B">
        <w:t xml:space="preserve">     </w:t>
      </w:r>
      <w:r w:rsidRPr="00D6253B">
        <w:t xml:space="preserve"> $</w:t>
      </w:r>
      <w:r w:rsidR="000A73F1" w:rsidRPr="00D6253B">
        <w:t xml:space="preserve">  </w:t>
      </w:r>
      <w:r w:rsidR="00A45558">
        <w:t>748,779.31</w:t>
      </w:r>
    </w:p>
    <w:p w:rsidR="00C5622C" w:rsidRDefault="00C5622C" w:rsidP="002B4A8E">
      <w:pPr>
        <w:spacing w:after="0"/>
        <w:rPr>
          <w:b/>
        </w:rPr>
      </w:pPr>
    </w:p>
    <w:p w:rsidR="005762C6" w:rsidRDefault="005762C6">
      <w:pPr>
        <w:rPr>
          <w:b/>
        </w:rPr>
      </w:pPr>
      <w:r w:rsidRPr="005A3120">
        <w:rPr>
          <w:b/>
        </w:rPr>
        <w:t>Derechos</w:t>
      </w:r>
      <w:r w:rsidRPr="005762C6">
        <w:rPr>
          <w:b/>
        </w:rPr>
        <w:t xml:space="preserve"> a recibir y Equivalentes y Bienes o Servicios a Recibir </w:t>
      </w:r>
    </w:p>
    <w:p w:rsidR="00410A8B" w:rsidRPr="001316E1" w:rsidRDefault="00410A8B" w:rsidP="00410A8B">
      <w:pPr>
        <w:spacing w:after="0"/>
      </w:pPr>
      <w:r>
        <w:rPr>
          <w:b/>
        </w:rPr>
        <w:t>-</w:t>
      </w:r>
      <w:r w:rsidRPr="001316E1">
        <w:t xml:space="preserve">Vencimiento  menor  a  </w:t>
      </w:r>
      <w:r>
        <w:t>3</w:t>
      </w:r>
      <w:r w:rsidRPr="001316E1">
        <w:t>0 días</w:t>
      </w:r>
    </w:p>
    <w:p w:rsidR="006A7512" w:rsidRDefault="006A7512" w:rsidP="00410A8B">
      <w:pPr>
        <w:spacing w:after="0"/>
      </w:pPr>
      <w:r>
        <w:t xml:space="preserve">Contribuciones por recuperar $      </w:t>
      </w:r>
      <w:r w:rsidR="00DF4B14">
        <w:t xml:space="preserve"> </w:t>
      </w:r>
      <w:r w:rsidR="00A45558">
        <w:t>1,019.24</w:t>
      </w:r>
    </w:p>
    <w:p w:rsidR="00A45558" w:rsidRDefault="00A45558" w:rsidP="000A73F1">
      <w:pPr>
        <w:spacing w:after="0"/>
      </w:pPr>
    </w:p>
    <w:p w:rsidR="000A73F1" w:rsidRPr="001316E1" w:rsidRDefault="00E31E81" w:rsidP="000A73F1">
      <w:pPr>
        <w:spacing w:after="0"/>
      </w:pPr>
      <w:r w:rsidRPr="001316E1">
        <w:t xml:space="preserve">Vencimiento  </w:t>
      </w:r>
      <w:r w:rsidR="006A7512">
        <w:t>mayor</w:t>
      </w:r>
      <w:r w:rsidRPr="001316E1">
        <w:t xml:space="preserve"> </w:t>
      </w:r>
      <w:r w:rsidR="00685D20">
        <w:t>a</w:t>
      </w:r>
      <w:r w:rsidR="007C114F">
        <w:t xml:space="preserve"> 30 </w:t>
      </w:r>
      <w:r w:rsidRPr="001316E1">
        <w:t xml:space="preserve"> días</w:t>
      </w:r>
    </w:p>
    <w:p w:rsidR="008E3D47" w:rsidRDefault="007C114F" w:rsidP="00702E1D">
      <w:pPr>
        <w:spacing w:after="0"/>
      </w:pPr>
      <w:r>
        <w:t xml:space="preserve">Deudores Diversos         $ </w:t>
      </w:r>
      <w:r w:rsidR="008E3D47">
        <w:t xml:space="preserve"> </w:t>
      </w:r>
      <w:r w:rsidR="003328F4">
        <w:t>1,109.10</w:t>
      </w:r>
    </w:p>
    <w:p w:rsidR="00313DCC" w:rsidRDefault="00A642BF" w:rsidP="00702E1D">
      <w:pPr>
        <w:spacing w:after="0"/>
      </w:pPr>
      <w:r>
        <w:t xml:space="preserve">  </w:t>
      </w:r>
    </w:p>
    <w:p w:rsidR="00354ECA" w:rsidRDefault="00354ECA" w:rsidP="00354ECA">
      <w:pPr>
        <w:spacing w:after="0"/>
      </w:pPr>
      <w:r>
        <w:rPr>
          <w:b/>
        </w:rPr>
        <w:t>-</w:t>
      </w:r>
      <w:r w:rsidRPr="001316E1">
        <w:t xml:space="preserve">Vencimiento  </w:t>
      </w:r>
      <w:r w:rsidR="005E2E38">
        <w:t>m</w:t>
      </w:r>
      <w:r w:rsidR="009E4E71">
        <w:t>ayor</w:t>
      </w:r>
      <w:r w:rsidRPr="001316E1">
        <w:t xml:space="preserve">  a  </w:t>
      </w:r>
      <w:r>
        <w:t>18</w:t>
      </w:r>
      <w:r w:rsidRPr="001316E1">
        <w:t>0 días</w:t>
      </w:r>
    </w:p>
    <w:p w:rsidR="005E2E38" w:rsidRPr="001316E1" w:rsidRDefault="005E2E38" w:rsidP="00354ECA">
      <w:pPr>
        <w:spacing w:after="0"/>
      </w:pPr>
      <w:r>
        <w:t xml:space="preserve"> </w:t>
      </w:r>
    </w:p>
    <w:p w:rsidR="00DF4B14" w:rsidRDefault="000A73F1" w:rsidP="00DF4B14">
      <w:pPr>
        <w:spacing w:after="0"/>
      </w:pPr>
      <w:r w:rsidRPr="001316E1">
        <w:t xml:space="preserve"> </w:t>
      </w:r>
      <w:r w:rsidR="00DF4B14">
        <w:t>Val</w:t>
      </w:r>
      <w:r w:rsidR="000D5727">
        <w:t xml:space="preserve">or en Garantía de              </w:t>
      </w:r>
      <w:r w:rsidR="00DF4B14">
        <w:t xml:space="preserve"> $  </w:t>
      </w:r>
      <w:r w:rsidR="007C114F">
        <w:t>3,500.00</w:t>
      </w:r>
    </w:p>
    <w:p w:rsidR="00FD2468" w:rsidRDefault="00FD2468" w:rsidP="00FD2468">
      <w:pPr>
        <w:spacing w:after="0"/>
      </w:pPr>
      <w:r>
        <w:t>Deudor</w:t>
      </w:r>
      <w:r w:rsidR="001D44B5">
        <w:t>es Diversos                   $</w:t>
      </w:r>
      <w:r>
        <w:t xml:space="preserve"> </w:t>
      </w:r>
      <w:r w:rsidR="003328F4">
        <w:t>23,431.34</w:t>
      </w:r>
    </w:p>
    <w:p w:rsidR="00247AD6" w:rsidRPr="001316E1" w:rsidRDefault="00247AD6" w:rsidP="00702E1D">
      <w:pPr>
        <w:spacing w:after="0"/>
      </w:pPr>
    </w:p>
    <w:p w:rsidR="00685D20" w:rsidRDefault="00685D20" w:rsidP="008748AE">
      <w:pPr>
        <w:spacing w:after="0"/>
      </w:pPr>
    </w:p>
    <w:p w:rsidR="008748AE" w:rsidRDefault="008748AE" w:rsidP="008748AE">
      <w:pPr>
        <w:spacing w:after="0"/>
      </w:pPr>
      <w:r w:rsidRPr="001316E1">
        <w:t xml:space="preserve">-Vencimiento mayor a 365 </w:t>
      </w:r>
      <w:r w:rsidR="00E31E81" w:rsidRPr="001316E1">
        <w:t>días</w:t>
      </w:r>
    </w:p>
    <w:p w:rsidR="008748AE" w:rsidRDefault="005E2E38" w:rsidP="008748AE">
      <w:pPr>
        <w:spacing w:after="0"/>
      </w:pPr>
      <w:r w:rsidRPr="00D6253B">
        <w:t xml:space="preserve"> </w:t>
      </w:r>
      <w:r w:rsidR="009F46EE" w:rsidRPr="00D6253B">
        <w:t xml:space="preserve"> </w:t>
      </w:r>
      <w:r w:rsidRPr="00D6253B">
        <w:t xml:space="preserve"> </w:t>
      </w:r>
      <w:r w:rsidR="008748AE" w:rsidRPr="00D6253B">
        <w:t>Valores en garantía</w:t>
      </w:r>
      <w:r w:rsidR="000D5727">
        <w:t xml:space="preserve"> de</w:t>
      </w:r>
      <w:r w:rsidR="008748AE" w:rsidRPr="00D6253B">
        <w:t xml:space="preserve">   $</w:t>
      </w:r>
      <w:r w:rsidRPr="00D6253B">
        <w:t xml:space="preserve"> </w:t>
      </w:r>
      <w:r w:rsidR="007C114F">
        <w:t>127,840.00</w:t>
      </w:r>
    </w:p>
    <w:p w:rsidR="008748AE" w:rsidRPr="001316E1" w:rsidRDefault="007C114F" w:rsidP="008748AE">
      <w:pPr>
        <w:spacing w:after="0"/>
      </w:pPr>
      <w:r>
        <w:t xml:space="preserve">   Deudores Diversos          $   27,000.00</w:t>
      </w:r>
    </w:p>
    <w:p w:rsidR="008748AE" w:rsidRDefault="008748AE" w:rsidP="008748AE">
      <w:pPr>
        <w:spacing w:after="0"/>
        <w:rPr>
          <w:b/>
        </w:rPr>
      </w:pPr>
    </w:p>
    <w:p w:rsidR="00247AD6" w:rsidRDefault="008748AE" w:rsidP="00C118EB">
      <w:pPr>
        <w:jc w:val="both"/>
      </w:pPr>
      <w:r w:rsidRPr="001316E1">
        <w:t xml:space="preserve">Las contribuciones representa </w:t>
      </w:r>
      <w:r w:rsidR="00321411">
        <w:t xml:space="preserve">el </w:t>
      </w:r>
      <w:r w:rsidR="002F16C7">
        <w:t xml:space="preserve">IVA </w:t>
      </w:r>
      <w:r w:rsidR="005A3120">
        <w:t>acreditable;</w:t>
      </w:r>
      <w:r w:rsidRPr="001316E1">
        <w:t xml:space="preserve"> </w:t>
      </w:r>
      <w:r w:rsidR="00C5622C">
        <w:t xml:space="preserve"> </w:t>
      </w:r>
      <w:r w:rsidR="002F16C7">
        <w:t>préstamos</w:t>
      </w:r>
      <w:r w:rsidR="00C5622C">
        <w:t xml:space="preserve"> al personal por apoyo escolar</w:t>
      </w:r>
      <w:r w:rsidR="00B05E1F">
        <w:t xml:space="preserve"> de este presente ciclo </w:t>
      </w:r>
      <w:r w:rsidR="005E2E38">
        <w:t xml:space="preserve">escolar </w:t>
      </w:r>
      <w:r w:rsidR="00B05E1F">
        <w:t>201</w:t>
      </w:r>
      <w:r w:rsidR="00F95F98">
        <w:t>5</w:t>
      </w:r>
      <w:r w:rsidR="00410A8B">
        <w:t>-201</w:t>
      </w:r>
      <w:r w:rsidR="00F95F98">
        <w:t>6</w:t>
      </w:r>
      <w:r w:rsidR="00C5622C">
        <w:t xml:space="preserve"> mismo que se </w:t>
      </w:r>
      <w:r w:rsidR="00410A8B">
        <w:t>desc</w:t>
      </w:r>
      <w:r w:rsidR="00F029D2">
        <w:t xml:space="preserve">uenta </w:t>
      </w:r>
      <w:r w:rsidR="00C5622C">
        <w:t xml:space="preserve"> de manera quincenal</w:t>
      </w:r>
      <w:r w:rsidR="00F029D2">
        <w:t xml:space="preserve"> se </w:t>
      </w:r>
      <w:r w:rsidR="00410A8B">
        <w:t xml:space="preserve"> inicia</w:t>
      </w:r>
      <w:r w:rsidR="00F029D2">
        <w:t>r</w:t>
      </w:r>
      <w:r w:rsidR="00321411">
        <w:t>o</w:t>
      </w:r>
      <w:r w:rsidR="00F95F98">
        <w:t>n</w:t>
      </w:r>
      <w:r w:rsidR="00410A8B">
        <w:t xml:space="preserve"> los descuentos en la primera quincena de Septiembre</w:t>
      </w:r>
      <w:r w:rsidR="00F95F98">
        <w:t xml:space="preserve"> 2015</w:t>
      </w:r>
      <w:r w:rsidR="00410A8B">
        <w:t xml:space="preserve"> </w:t>
      </w:r>
      <w:r w:rsidR="00FD2468">
        <w:t xml:space="preserve">a la presente fecha existe un monto de </w:t>
      </w:r>
      <w:r w:rsidR="003328F4">
        <w:t>4,931.34</w:t>
      </w:r>
      <w:r w:rsidR="00FD2468">
        <w:t>;</w:t>
      </w:r>
      <w:r w:rsidR="00B149BC">
        <w:t xml:space="preserve"> </w:t>
      </w:r>
      <w:r w:rsidR="00F029D2">
        <w:t xml:space="preserve">el monto otorgado fue </w:t>
      </w:r>
      <w:r w:rsidR="00B149BC">
        <w:t>por un importe de $</w:t>
      </w:r>
      <w:r w:rsidR="00F95F98">
        <w:t>52</w:t>
      </w:r>
      <w:r w:rsidR="00B149BC">
        <w:t>,</w:t>
      </w:r>
      <w:r w:rsidR="00F95F98">
        <w:t>8</w:t>
      </w:r>
      <w:r w:rsidR="00B149BC">
        <w:t>00.00</w:t>
      </w:r>
      <w:r w:rsidR="00595488">
        <w:t xml:space="preserve">; </w:t>
      </w:r>
      <w:r w:rsidR="00BE3F2C" w:rsidRPr="001316E1">
        <w:t>Valores en garantía representa las garantías que accede la institución para el desempeño de sus objetivos.</w:t>
      </w:r>
    </w:p>
    <w:p w:rsidR="00297B55" w:rsidRDefault="00297B55" w:rsidP="00C118EB">
      <w:pPr>
        <w:jc w:val="both"/>
      </w:pPr>
    </w:p>
    <w:p w:rsidR="00297B55" w:rsidRDefault="00297B55" w:rsidP="00C118EB">
      <w:pPr>
        <w:jc w:val="both"/>
      </w:pPr>
    </w:p>
    <w:p w:rsidR="00297B55" w:rsidRDefault="00297B55" w:rsidP="00C118EB">
      <w:pPr>
        <w:jc w:val="both"/>
      </w:pPr>
    </w:p>
    <w:p w:rsidR="00E12A5F" w:rsidRDefault="00E12A5F" w:rsidP="00C118EB">
      <w:pPr>
        <w:jc w:val="both"/>
      </w:pPr>
    </w:p>
    <w:p w:rsidR="00E12A5F" w:rsidRDefault="00E12A5F" w:rsidP="00C118EB">
      <w:pPr>
        <w:jc w:val="both"/>
      </w:pPr>
    </w:p>
    <w:p w:rsidR="00E12A5F" w:rsidRPr="00C118EB" w:rsidRDefault="00E12A5F" w:rsidP="00C118EB">
      <w:pPr>
        <w:jc w:val="both"/>
      </w:pPr>
    </w:p>
    <w:p w:rsidR="00466A2E" w:rsidRDefault="00466A2E">
      <w:pPr>
        <w:rPr>
          <w:b/>
        </w:rPr>
      </w:pPr>
      <w:r w:rsidRPr="00466A2E">
        <w:rPr>
          <w:b/>
        </w:rPr>
        <w:t>Bienes Muebles, Inmuebles e Intangibles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540"/>
        <w:gridCol w:w="1760"/>
        <w:gridCol w:w="1660"/>
        <w:gridCol w:w="1780"/>
      </w:tblGrid>
      <w:tr w:rsidR="00914CC0" w:rsidRPr="00D0146F" w:rsidTr="00D0146F">
        <w:trPr>
          <w:trHeight w:val="58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Default="00D0146F" w:rsidP="00D0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10A8B" w:rsidRPr="00D0146F" w:rsidRDefault="00410A8B" w:rsidP="00D0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Depreciación del Ejercicio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E31E81" w:rsidP="00D0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Depreciación</w:t>
            </w:r>
            <w:r w:rsidR="00D0146F"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Acumulada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E31E81" w:rsidP="00D0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Método</w:t>
            </w:r>
            <w:r w:rsidR="00D0146F"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Depreciación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Criterio de Aplicación </w:t>
            </w:r>
          </w:p>
        </w:tc>
      </w:tr>
      <w:tr w:rsidR="00914CC0" w:rsidRPr="00D0146F" w:rsidTr="00D0146F">
        <w:trPr>
          <w:trHeight w:val="18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Mobiliario y Equipo de Administración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6F" w:rsidRPr="00D6253B" w:rsidRDefault="00D0146F" w:rsidP="00914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685D2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B1AC2">
              <w:rPr>
                <w:rFonts w:ascii="Calibri" w:eastAsia="Times New Roman" w:hAnsi="Calibri" w:cs="Calibri"/>
                <w:color w:val="000000"/>
              </w:rPr>
              <w:t>2</w:t>
            </w:r>
            <w:r w:rsidR="00914CC0">
              <w:rPr>
                <w:rFonts w:ascii="Calibri" w:eastAsia="Times New Roman" w:hAnsi="Calibri" w:cs="Calibri"/>
                <w:color w:val="000000"/>
              </w:rPr>
              <w:t>9,751.34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6F" w:rsidRPr="00D6253B" w:rsidRDefault="004E027C" w:rsidP="00914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 xml:space="preserve">          </w:t>
            </w:r>
            <w:r w:rsidR="00D0146F"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321411">
              <w:rPr>
                <w:rFonts w:ascii="Calibri" w:eastAsia="Times New Roman" w:hAnsi="Calibri" w:cs="Calibri"/>
                <w:color w:val="000000"/>
              </w:rPr>
              <w:t>5</w:t>
            </w:r>
            <w:r w:rsidR="00914CC0">
              <w:rPr>
                <w:rFonts w:ascii="Calibri" w:eastAsia="Times New Roman" w:hAnsi="Calibri" w:cs="Calibri"/>
                <w:color w:val="000000"/>
              </w:rPr>
              <w:t>8</w:t>
            </w:r>
            <w:r w:rsidR="00DB1AC2">
              <w:rPr>
                <w:rFonts w:ascii="Calibri" w:eastAsia="Times New Roman" w:hAnsi="Calibri" w:cs="Calibri"/>
                <w:color w:val="000000"/>
              </w:rPr>
              <w:t>4,</w:t>
            </w:r>
            <w:r w:rsidR="00914CC0">
              <w:rPr>
                <w:rFonts w:ascii="Calibri" w:eastAsia="Times New Roman" w:hAnsi="Calibri" w:cs="Calibri"/>
                <w:color w:val="000000"/>
              </w:rPr>
              <w:t>209.43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Equipo de Oficina </w:t>
            </w:r>
            <w:r w:rsidR="00E31E81"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línea</w:t>
            </w: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recta con tasa de 10% Equipo Computo </w:t>
            </w:r>
            <w:r w:rsidR="00E31E81"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Línea</w:t>
            </w: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recta con tasa 30%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forma Mensual y aplicado al mes siguiente de la adquisición</w:t>
            </w:r>
          </w:p>
        </w:tc>
      </w:tr>
      <w:tr w:rsidR="00914CC0" w:rsidRPr="00D0146F" w:rsidTr="00D0146F">
        <w:trPr>
          <w:trHeight w:val="108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Mobiliario y Equipo Recreativo y Educacional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0D" w:rsidRPr="00D6253B" w:rsidRDefault="00D0146F" w:rsidP="00914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685D2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14CC0">
              <w:rPr>
                <w:rFonts w:ascii="Calibri" w:eastAsia="Times New Roman" w:hAnsi="Calibri" w:cs="Calibri"/>
                <w:color w:val="000000"/>
              </w:rPr>
              <w:t>7,645.66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18" w:rsidRPr="00D6253B" w:rsidRDefault="00151FAB" w:rsidP="00914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DB1AC2">
              <w:rPr>
                <w:rFonts w:ascii="Calibri" w:eastAsia="Times New Roman" w:hAnsi="Calibri" w:cs="Calibri"/>
                <w:color w:val="000000"/>
              </w:rPr>
              <w:t>8</w:t>
            </w:r>
            <w:r w:rsidR="00914CC0">
              <w:rPr>
                <w:rFonts w:ascii="Calibri" w:eastAsia="Times New Roman" w:hAnsi="Calibri" w:cs="Calibri"/>
                <w:color w:val="000000"/>
              </w:rPr>
              <w:t>3,478.35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Línea recta con tasa del 10%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forma Mensual y aplicado al mes siguiente de la adquisición</w:t>
            </w:r>
          </w:p>
        </w:tc>
      </w:tr>
      <w:tr w:rsidR="00914CC0" w:rsidRPr="00D0146F" w:rsidTr="00D0146F">
        <w:trPr>
          <w:trHeight w:val="106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Maquinaria Otros Equipos y Herramientas (Equipo Diverso y Herramientas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7B6" w:rsidRPr="00D6253B" w:rsidRDefault="00151FAB" w:rsidP="00914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685D2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14CC0">
              <w:rPr>
                <w:rFonts w:ascii="Calibri" w:eastAsia="Times New Roman" w:hAnsi="Calibri" w:cs="Calibri"/>
                <w:color w:val="000000"/>
              </w:rPr>
              <w:t>16,273.20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6F" w:rsidRPr="00D6253B" w:rsidRDefault="00887BF4" w:rsidP="00972B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DB1AC2">
              <w:rPr>
                <w:rFonts w:ascii="Calibri" w:eastAsia="Times New Roman" w:hAnsi="Calibri" w:cs="Calibri"/>
                <w:color w:val="000000"/>
              </w:rPr>
              <w:t>37</w:t>
            </w:r>
            <w:r w:rsidR="00972B25">
              <w:rPr>
                <w:rFonts w:ascii="Calibri" w:eastAsia="Times New Roman" w:hAnsi="Calibri" w:cs="Calibri"/>
                <w:color w:val="000000"/>
              </w:rPr>
              <w:t>5</w:t>
            </w:r>
            <w:r w:rsidR="00DB1AC2">
              <w:rPr>
                <w:rFonts w:ascii="Calibri" w:eastAsia="Times New Roman" w:hAnsi="Calibri" w:cs="Calibri"/>
                <w:color w:val="000000"/>
              </w:rPr>
              <w:t>,</w:t>
            </w:r>
            <w:r w:rsidR="00972B25">
              <w:rPr>
                <w:rFonts w:ascii="Calibri" w:eastAsia="Times New Roman" w:hAnsi="Calibri" w:cs="Calibri"/>
                <w:color w:val="000000"/>
              </w:rPr>
              <w:t>466.51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Línea recta con tasa del 10%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forma Mensual y aplicado al mes siguiente de la adquisición</w:t>
            </w:r>
          </w:p>
        </w:tc>
      </w:tr>
      <w:tr w:rsidR="00914CC0" w:rsidRPr="00D0146F" w:rsidTr="00D0146F">
        <w:trPr>
          <w:trHeight w:val="106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A8B" w:rsidRDefault="00410A8B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10A8B" w:rsidRDefault="00410A8B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 de Transporte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C2" w:rsidRPr="00D6253B" w:rsidRDefault="00151FAB" w:rsidP="00914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DB1AC2">
              <w:rPr>
                <w:rFonts w:ascii="Calibri" w:eastAsia="Times New Roman" w:hAnsi="Calibri" w:cs="Calibri"/>
                <w:color w:val="000000"/>
              </w:rPr>
              <w:t>1</w:t>
            </w:r>
            <w:r w:rsidR="00914CC0">
              <w:rPr>
                <w:rFonts w:ascii="Calibri" w:eastAsia="Times New Roman" w:hAnsi="Calibri" w:cs="Calibri"/>
                <w:color w:val="000000"/>
              </w:rPr>
              <w:t>9,064.25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BF4" w:rsidRPr="00D6253B" w:rsidRDefault="00887BF4" w:rsidP="00972B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972B25">
              <w:rPr>
                <w:rFonts w:ascii="Calibri" w:eastAsia="Times New Roman" w:hAnsi="Calibri" w:cs="Calibri"/>
                <w:color w:val="000000"/>
              </w:rPr>
              <w:t>904,125.59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Línea recta con tasa del 25%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46F" w:rsidRPr="00D0146F" w:rsidRDefault="00D0146F" w:rsidP="00D01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forma Mensual y aplicado al mes siguiente de la adquisición</w:t>
            </w:r>
          </w:p>
        </w:tc>
      </w:tr>
      <w:tr w:rsidR="00914CC0" w:rsidRPr="00D0146F" w:rsidTr="00685D20">
        <w:trPr>
          <w:trHeight w:val="106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A8B" w:rsidRPr="00D0146F" w:rsidRDefault="00410A8B" w:rsidP="00B20E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A8B" w:rsidRPr="00D6253B" w:rsidRDefault="00410A8B" w:rsidP="00B90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A8B" w:rsidRPr="00D6253B" w:rsidRDefault="00410A8B" w:rsidP="00B90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A8B" w:rsidRPr="00D0146F" w:rsidRDefault="00410A8B" w:rsidP="00C0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A8B" w:rsidRPr="00D0146F" w:rsidRDefault="00410A8B" w:rsidP="00C06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BE3F2C" w:rsidRDefault="00BE3F2C">
      <w:pPr>
        <w:rPr>
          <w:b/>
        </w:rPr>
      </w:pPr>
    </w:p>
    <w:p w:rsidR="00410A8B" w:rsidRPr="00D0146F" w:rsidRDefault="00410A8B">
      <w:pPr>
        <w:rPr>
          <w:b/>
        </w:rPr>
      </w:pPr>
    </w:p>
    <w:p w:rsidR="006A5791" w:rsidRDefault="00085DE4" w:rsidP="00692CB7">
      <w:pPr>
        <w:jc w:val="both"/>
      </w:pPr>
      <w:r w:rsidRPr="001327DC">
        <w:t>Depreciaciones y de Activos fijos, se inicia en el mes siguiente de utilización, usando el método de línea recta y en base a las tasa</w:t>
      </w:r>
      <w:r w:rsidR="00A46DA2" w:rsidRPr="001327DC">
        <w:t>s</w:t>
      </w:r>
      <w:r w:rsidRPr="001327DC">
        <w:t xml:space="preserve"> autorizadas por la Ley del Impuesto sobre la Renta</w:t>
      </w:r>
      <w:r w:rsidR="00CF0B93" w:rsidRPr="001327DC">
        <w:t xml:space="preserve">. </w:t>
      </w:r>
    </w:p>
    <w:p w:rsidR="00695223" w:rsidRDefault="00695223" w:rsidP="00692CB7">
      <w:pPr>
        <w:jc w:val="both"/>
        <w:rPr>
          <w:b/>
        </w:rPr>
      </w:pPr>
      <w:r w:rsidRPr="00695223">
        <w:rPr>
          <w:b/>
        </w:rPr>
        <w:t>Otros Activos</w:t>
      </w:r>
      <w:r w:rsidR="00B7571C">
        <w:rPr>
          <w:b/>
        </w:rPr>
        <w:t>:</w:t>
      </w:r>
    </w:p>
    <w:p w:rsidR="00AD63B9" w:rsidRDefault="00B7571C" w:rsidP="00692CB7">
      <w:pPr>
        <w:jc w:val="both"/>
        <w:rPr>
          <w:b/>
        </w:rPr>
      </w:pPr>
      <w:r>
        <w:rPr>
          <w:b/>
        </w:rPr>
        <w:t xml:space="preserve">Colección de obras de arte </w:t>
      </w:r>
      <w:r w:rsidRPr="00D6253B">
        <w:rPr>
          <w:b/>
        </w:rPr>
        <w:t xml:space="preserve">$ </w:t>
      </w:r>
      <w:r w:rsidR="00266FB3">
        <w:rPr>
          <w:b/>
        </w:rPr>
        <w:t>16</w:t>
      </w:r>
      <w:proofErr w:type="gramStart"/>
      <w:r w:rsidR="00266FB3">
        <w:rPr>
          <w:b/>
        </w:rPr>
        <w:t>,</w:t>
      </w:r>
      <w:r w:rsidR="00AB5CB1">
        <w:rPr>
          <w:b/>
        </w:rPr>
        <w:t>131,328.28</w:t>
      </w:r>
      <w:proofErr w:type="gramEnd"/>
    </w:p>
    <w:p w:rsidR="004A44F0" w:rsidRDefault="004A44F0" w:rsidP="00692CB7">
      <w:pPr>
        <w:jc w:val="both"/>
        <w:rPr>
          <w:b/>
        </w:rPr>
      </w:pPr>
      <w:r w:rsidRPr="00AD062E">
        <w:rPr>
          <w:b/>
        </w:rPr>
        <w:lastRenderedPageBreak/>
        <w:t>PASIVO</w:t>
      </w:r>
      <w:r w:rsidR="00695223">
        <w:rPr>
          <w:b/>
        </w:rPr>
        <w:t xml:space="preserve"> 2</w:t>
      </w:r>
      <w:r w:rsidR="00816051">
        <w:rPr>
          <w:b/>
        </w:rPr>
        <w:t xml:space="preserve"> </w:t>
      </w:r>
    </w:p>
    <w:p w:rsidR="00744D2D" w:rsidRPr="00744D2D" w:rsidRDefault="00E23E74" w:rsidP="00744D2D">
      <w:pPr>
        <w:jc w:val="both"/>
      </w:pPr>
      <w:r>
        <w:t>Del Pasivo Total   se en</w:t>
      </w:r>
      <w:r w:rsidR="00336E59">
        <w:t xml:space="preserve"> </w:t>
      </w:r>
      <w:r w:rsidR="00744D2D">
        <w:t xml:space="preserve">lista lo más representativo  $ </w:t>
      </w:r>
      <w:r w:rsidR="00F919B4">
        <w:t>190,188.39</w:t>
      </w:r>
      <w:r w:rsidR="00744D2D">
        <w:t xml:space="preserve">  Así mismo se informa </w:t>
      </w:r>
      <w:r w:rsidR="0068188E">
        <w:t xml:space="preserve">sobre la antigüedad </w:t>
      </w:r>
      <w:r w:rsidR="00744D2D">
        <w:t xml:space="preserve"> de dichos pagos.</w:t>
      </w:r>
    </w:p>
    <w:p w:rsidR="00B7571C" w:rsidRDefault="00744D2D" w:rsidP="00744D2D">
      <w:pPr>
        <w:jc w:val="both"/>
      </w:pPr>
      <w:r>
        <w:t>Relación de los Proveedores más significativos.</w:t>
      </w:r>
    </w:p>
    <w:p w:rsidR="00213202" w:rsidRDefault="00213202" w:rsidP="00213202">
      <w:pPr>
        <w:jc w:val="both"/>
      </w:pPr>
    </w:p>
    <w:p w:rsidR="0068188E" w:rsidRDefault="00A13D1E" w:rsidP="009B7219">
      <w:pPr>
        <w:jc w:val="both"/>
      </w:pPr>
      <w:r>
        <w:t>-</w:t>
      </w:r>
      <w:r w:rsidR="0068188E">
        <w:t>Antigüedad menor a 30 días.</w:t>
      </w:r>
    </w:p>
    <w:p w:rsidR="002C299F" w:rsidRDefault="00744D2D" w:rsidP="002C299F">
      <w:pPr>
        <w:jc w:val="both"/>
      </w:pPr>
      <w:r>
        <w:t>Impuestos por pagar</w:t>
      </w:r>
      <w:r>
        <w:tab/>
        <w:t xml:space="preserve">                </w:t>
      </w:r>
      <w:r w:rsidR="00B42A75">
        <w:t xml:space="preserve">       </w:t>
      </w:r>
      <w:r w:rsidR="00AD63B9">
        <w:t xml:space="preserve">                                                 </w:t>
      </w:r>
      <w:r w:rsidR="00B42A75">
        <w:t xml:space="preserve"> </w:t>
      </w:r>
      <w:r w:rsidR="0068188E">
        <w:t xml:space="preserve"> </w:t>
      </w:r>
      <w:r>
        <w:t>$</w:t>
      </w:r>
      <w:r w:rsidR="00266FB3">
        <w:t xml:space="preserve">  </w:t>
      </w:r>
      <w:r w:rsidR="007B09A2">
        <w:t xml:space="preserve"> 5</w:t>
      </w:r>
      <w:r w:rsidR="00DB1AC2">
        <w:t>3</w:t>
      </w:r>
      <w:r w:rsidR="007B09A2">
        <w:t>,</w:t>
      </w:r>
      <w:r w:rsidR="00F919B4">
        <w:t>383.18</w:t>
      </w:r>
    </w:p>
    <w:p w:rsidR="00F36763" w:rsidRDefault="0068188E" w:rsidP="002C299F">
      <w:pPr>
        <w:jc w:val="both"/>
      </w:pPr>
      <w:r w:rsidRPr="00D6253B">
        <w:t xml:space="preserve">Cuotas de IMSS, AFORE e INFONAVIT  </w:t>
      </w:r>
      <w:r w:rsidR="00AD63B9" w:rsidRPr="00D6253B">
        <w:t xml:space="preserve">               </w:t>
      </w:r>
      <w:r w:rsidR="00213202" w:rsidRPr="00D6253B">
        <w:t xml:space="preserve">                              </w:t>
      </w:r>
      <w:r w:rsidR="00E05491" w:rsidRPr="00D6253B">
        <w:t xml:space="preserve"> </w:t>
      </w:r>
      <w:r w:rsidR="00213202" w:rsidRPr="00D6253B">
        <w:t xml:space="preserve"> </w:t>
      </w:r>
      <w:r w:rsidR="00AD63B9" w:rsidRPr="00D6253B">
        <w:t xml:space="preserve">  </w:t>
      </w:r>
      <w:r w:rsidRPr="00D6253B">
        <w:t>$</w:t>
      </w:r>
      <w:r w:rsidR="00E05491" w:rsidRPr="00D6253B">
        <w:t xml:space="preserve"> </w:t>
      </w:r>
      <w:r w:rsidR="00F919B4">
        <w:t>136,805.21</w:t>
      </w:r>
    </w:p>
    <w:p w:rsidR="00527DAE" w:rsidRDefault="00527DAE" w:rsidP="0016495D">
      <w:pPr>
        <w:spacing w:after="0"/>
        <w:jc w:val="both"/>
      </w:pPr>
    </w:p>
    <w:p w:rsidR="00546C57" w:rsidRDefault="00546C57" w:rsidP="00744D2D">
      <w:pPr>
        <w:jc w:val="both"/>
      </w:pPr>
      <w:r w:rsidRPr="00546C57">
        <w:t xml:space="preserve">La institución tiene el compromiso de pagar el importe de </w:t>
      </w:r>
      <w:r w:rsidRPr="00546C57">
        <w:rPr>
          <w:rFonts w:ascii="Calibri" w:hAnsi="Calibri"/>
          <w:b/>
          <w:color w:val="000000"/>
        </w:rPr>
        <w:t>USD 195,000.00</w:t>
      </w:r>
      <w:r w:rsidRPr="00546C57">
        <w:t xml:space="preserve"> por concepto de indemnización  a  la obra del Maestro Fernando </w:t>
      </w:r>
      <w:r w:rsidR="00B90FCF" w:rsidRPr="00546C57">
        <w:t>García</w:t>
      </w:r>
      <w:r w:rsidRPr="00546C57">
        <w:t xml:space="preserve"> Ponce extraviada </w:t>
      </w:r>
      <w:r w:rsidR="007B09A2">
        <w:t>en las oficinas de la gobernadora ubicada en el palacio de gobierno;</w:t>
      </w:r>
      <w:r w:rsidRPr="00546C57">
        <w:t xml:space="preserve"> del Periodo 2007-2012. </w:t>
      </w:r>
      <w:r w:rsidR="00DE3AF5">
        <w:t>Se procede al pago c</w:t>
      </w:r>
      <w:r w:rsidR="00B90FCF" w:rsidRPr="00546C57">
        <w:t>omo</w:t>
      </w:r>
      <w:r w:rsidRPr="00546C57">
        <w:t xml:space="preserve"> lo señala el convenio de comodato firmado por el Museo de Arte Contemporáneo  Ateneo de Yucatán (MACAY) el Director Lic. Miguel Madrid, por la Fundación Cultural </w:t>
      </w:r>
      <w:proofErr w:type="spellStart"/>
      <w:r w:rsidRPr="00546C57">
        <w:t>Macay</w:t>
      </w:r>
      <w:proofErr w:type="spellEnd"/>
      <w:r w:rsidRPr="00546C57">
        <w:t>, A. C. y los Propietarios Sra. Elba Esther García Villarreal y María Fernanda García Villarreal; y en cumplimiento de las clausulas tercera y sexta que hablan de la vigencia y seguro de daños</w:t>
      </w:r>
      <w:r w:rsidR="00CA2B85">
        <w:t>.</w:t>
      </w:r>
    </w:p>
    <w:p w:rsidR="00CA2B85" w:rsidRDefault="00CA2B85" w:rsidP="00CA2B8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presenta tabla de fechas para cumplir los pagos, importe más el respectivo I.V.A.  </w:t>
      </w:r>
      <w:proofErr w:type="gramStart"/>
      <w:r>
        <w:rPr>
          <w:sz w:val="20"/>
          <w:szCs w:val="20"/>
        </w:rPr>
        <w:t>al</w:t>
      </w:r>
      <w:proofErr w:type="gramEnd"/>
      <w:r>
        <w:rPr>
          <w:sz w:val="20"/>
          <w:szCs w:val="20"/>
        </w:rPr>
        <w:t xml:space="preserve"> tipo de cambio a la fecha del pago. </w:t>
      </w:r>
    </w:p>
    <w:tbl>
      <w:tblPr>
        <w:tblW w:w="96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1416"/>
        <w:gridCol w:w="1196"/>
        <w:gridCol w:w="636"/>
        <w:gridCol w:w="1416"/>
        <w:gridCol w:w="1216"/>
        <w:gridCol w:w="636"/>
        <w:gridCol w:w="1416"/>
        <w:gridCol w:w="1216"/>
      </w:tblGrid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TABLA DE PAGOS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Noviembre 2014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Diciembre 2014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Enero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16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Enero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28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Enero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Febrero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17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Febrero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29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Febrero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Marzo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18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Marzo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Marzo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Abril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19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Abril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31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Abril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Mayo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Mayo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32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Mayo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Junio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21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Junio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33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Junio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Julio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22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Julio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34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Julio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Agosto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23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Agosto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35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Agosto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Septiembre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24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Septiembre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36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Septiembre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Octubre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25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Octubre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37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Octubre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Noviembre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26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Noviembre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38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Noviembre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Diciembre 2015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27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Diciembre 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5,128.00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39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Diciembre 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USD 5,264.00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USD 71,792.00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USD 61,536.00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USD 61,672.00</w:t>
            </w: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Pr="00ED6BFA" w:rsidRDefault="00CA2B85" w:rsidP="00B20E9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ED6BFA">
              <w:rPr>
                <w:rFonts w:ascii="Calibri" w:hAnsi="Calibri"/>
                <w:b/>
                <w:color w:val="000000"/>
                <w:sz w:val="16"/>
                <w:szCs w:val="16"/>
              </w:rPr>
              <w:t>Gran Total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Pr="00ED6BFA" w:rsidRDefault="00CA2B85" w:rsidP="00B20E90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ED6BFA">
              <w:rPr>
                <w:rFonts w:ascii="Calibri" w:hAnsi="Calibri"/>
                <w:b/>
                <w:color w:val="000000"/>
                <w:sz w:val="16"/>
                <w:szCs w:val="16"/>
              </w:rPr>
              <w:t>USD 195,000.00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A2B85" w:rsidTr="00B20E90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Mas I.V.A.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B85" w:rsidRDefault="00CA2B85" w:rsidP="00B20E90">
            <w:pPr>
              <w:rPr>
                <w:rFonts w:ascii="Calibri" w:hAnsi="Calibri"/>
                <w:color w:val="000000"/>
              </w:rPr>
            </w:pPr>
          </w:p>
        </w:tc>
      </w:tr>
    </w:tbl>
    <w:p w:rsidR="00CA2B85" w:rsidRPr="00546C57" w:rsidRDefault="00CA2B85" w:rsidP="00744D2D">
      <w:pPr>
        <w:jc w:val="both"/>
      </w:pPr>
    </w:p>
    <w:p w:rsidR="002C299F" w:rsidRPr="002C299F" w:rsidRDefault="002C299F" w:rsidP="00692CB7">
      <w:pPr>
        <w:jc w:val="both"/>
      </w:pPr>
      <w:r w:rsidRPr="002C299F">
        <w:t>Al cierre de la emisión de estas notas no se cumplió con el</w:t>
      </w:r>
      <w:r w:rsidR="00682293">
        <w:t xml:space="preserve"> pago </w:t>
      </w:r>
      <w:r w:rsidR="00B36848">
        <w:t xml:space="preserve"> </w:t>
      </w:r>
      <w:r w:rsidR="00266FB3">
        <w:t xml:space="preserve"> </w:t>
      </w:r>
      <w:r w:rsidR="00262926">
        <w:t>3</w:t>
      </w:r>
      <w:r w:rsidR="003415CE">
        <w:t>, 4</w:t>
      </w:r>
      <w:r w:rsidR="004A29B0">
        <w:t>, 5</w:t>
      </w:r>
      <w:r w:rsidR="00E94601">
        <w:t>, 6</w:t>
      </w:r>
      <w:r w:rsidR="0022461A">
        <w:t>,</w:t>
      </w:r>
      <w:r w:rsidR="004A29B0">
        <w:t xml:space="preserve"> </w:t>
      </w:r>
      <w:r w:rsidR="00E94601">
        <w:t>7</w:t>
      </w:r>
      <w:r w:rsidR="0022461A">
        <w:t xml:space="preserve">, </w:t>
      </w:r>
      <w:r w:rsidR="00682293">
        <w:t>8</w:t>
      </w:r>
      <w:r w:rsidR="0059664D">
        <w:t>, 9</w:t>
      </w:r>
      <w:r w:rsidR="00321411">
        <w:t>, 10, 11, 12,</w:t>
      </w:r>
      <w:r w:rsidR="00B36848">
        <w:t xml:space="preserve"> 13</w:t>
      </w:r>
      <w:r w:rsidR="00682293">
        <w:t xml:space="preserve"> </w:t>
      </w:r>
      <w:r w:rsidR="0022461A">
        <w:t xml:space="preserve">y </w:t>
      </w:r>
      <w:r w:rsidR="00321411">
        <w:t>1</w:t>
      </w:r>
      <w:r w:rsidR="00B36848">
        <w:t>4</w:t>
      </w:r>
      <w:r w:rsidR="00266FB3">
        <w:t xml:space="preserve"> por un importe de </w:t>
      </w:r>
      <w:r w:rsidRPr="002C299F">
        <w:t xml:space="preserve"> $ 5,128.00 </w:t>
      </w:r>
      <w:proofErr w:type="spellStart"/>
      <w:r w:rsidRPr="002C299F">
        <w:t>dlls</w:t>
      </w:r>
      <w:proofErr w:type="spellEnd"/>
      <w:r w:rsidR="00682293">
        <w:t xml:space="preserve"> c/u.; en </w:t>
      </w:r>
      <w:r w:rsidR="0059664D">
        <w:t>el</w:t>
      </w:r>
      <w:r w:rsidR="00682293">
        <w:t xml:space="preserve"> mes de Julio se</w:t>
      </w:r>
      <w:r w:rsidR="00B36848">
        <w:t xml:space="preserve"> realizó el primer pago letra 1 y en Diciembre se realizó el pago letra 2.</w:t>
      </w:r>
    </w:p>
    <w:p w:rsidR="00657DD3" w:rsidRPr="00CF0B93" w:rsidRDefault="00657DD3" w:rsidP="00692CB7">
      <w:pPr>
        <w:jc w:val="both"/>
        <w:rPr>
          <w:b/>
        </w:rPr>
      </w:pPr>
      <w:r w:rsidRPr="00D45D0A">
        <w:rPr>
          <w:b/>
        </w:rPr>
        <w:t>2) NOTAS</w:t>
      </w:r>
      <w:r w:rsidRPr="00CF0B93">
        <w:rPr>
          <w:b/>
        </w:rPr>
        <w:t xml:space="preserve"> AL ESTADO DE VARIACIONES EN LA HACIENDA PUBLICA/PATRIMONIO</w:t>
      </w:r>
    </w:p>
    <w:p w:rsidR="00CF0B93" w:rsidRPr="00CF0B93" w:rsidRDefault="00CF0B93" w:rsidP="00692CB7">
      <w:pPr>
        <w:jc w:val="both"/>
      </w:pPr>
      <w:r w:rsidRPr="00CF0B93">
        <w:t xml:space="preserve">-El Estado de Variaciones en la Hacienda </w:t>
      </w:r>
      <w:r w:rsidR="00E31E81" w:rsidRPr="00CF0B93">
        <w:t>Pública</w:t>
      </w:r>
      <w:r w:rsidRPr="00CF0B93">
        <w:t xml:space="preserve">, refleja un </w:t>
      </w:r>
      <w:r w:rsidRPr="00CA7BD6">
        <w:t xml:space="preserve">ahorro </w:t>
      </w:r>
      <w:r w:rsidRPr="00441744">
        <w:t>de $</w:t>
      </w:r>
      <w:r w:rsidR="00FC3454" w:rsidRPr="00441744">
        <w:t xml:space="preserve"> </w:t>
      </w:r>
      <w:r w:rsidR="00F919B4">
        <w:t>312,846.60</w:t>
      </w:r>
      <w:r w:rsidRPr="00CA7BD6">
        <w:t xml:space="preserve"> mismo que</w:t>
      </w:r>
      <w:r w:rsidRPr="00CF0B93">
        <w:t xml:space="preserve"> modifica mi patrimonio, derivado</w:t>
      </w:r>
      <w:r w:rsidR="00BC64AD">
        <w:t xml:space="preserve"> de l</w:t>
      </w:r>
      <w:r w:rsidRPr="00CF0B93">
        <w:t xml:space="preserve">a compra de activo fijo y el pago de pasivos. </w:t>
      </w:r>
    </w:p>
    <w:p w:rsidR="00CE2D3B" w:rsidRDefault="00CE2D3B" w:rsidP="00692CB7">
      <w:pPr>
        <w:jc w:val="both"/>
        <w:rPr>
          <w:b/>
        </w:rPr>
      </w:pPr>
      <w:r>
        <w:rPr>
          <w:b/>
        </w:rPr>
        <w:t>3.- NOTAS AL ESTADO DE ACTIVIDADES</w:t>
      </w:r>
    </w:p>
    <w:p w:rsidR="00CE2D3B" w:rsidRDefault="00CE2D3B" w:rsidP="00692CB7">
      <w:pPr>
        <w:jc w:val="both"/>
        <w:rPr>
          <w:b/>
        </w:rPr>
      </w:pPr>
      <w:r w:rsidRPr="00441744">
        <w:rPr>
          <w:b/>
        </w:rPr>
        <w:t>Ingresos de Gestión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520"/>
      </w:tblGrid>
      <w:tr w:rsidR="00F80663" w:rsidRPr="00DD6EFC" w:rsidTr="00DD6EFC">
        <w:trPr>
          <w:trHeight w:val="315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EFC">
              <w:rPr>
                <w:rFonts w:ascii="Calibri" w:eastAsia="Times New Roman" w:hAnsi="Calibri" w:cs="Calibri"/>
                <w:i/>
                <w:iCs/>
                <w:color w:val="000000"/>
              </w:rPr>
              <w:t>INGRESOS DE LA GESTION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EFC" w:rsidRPr="00DD6EFC" w:rsidRDefault="00C7642F" w:rsidP="00DD6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I</w:t>
            </w:r>
            <w:r w:rsidR="00DD6EFC" w:rsidRPr="00DD6EFC">
              <w:rPr>
                <w:rFonts w:ascii="Calibri" w:eastAsia="Times New Roman" w:hAnsi="Calibri" w:cs="Calibri"/>
                <w:color w:val="000000"/>
              </w:rPr>
              <w:t>mporte</w:t>
            </w:r>
          </w:p>
        </w:tc>
      </w:tr>
      <w:tr w:rsidR="00F80663" w:rsidRPr="00DD6EFC" w:rsidTr="00DD6EFC">
        <w:trPr>
          <w:trHeight w:val="300"/>
        </w:trPr>
        <w:tc>
          <w:tcPr>
            <w:tcW w:w="48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Ingresos por Venta de Bienes y Servicios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917" w:rsidRPr="00B71917" w:rsidRDefault="00DD6EFC" w:rsidP="00E92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$</w:t>
            </w:r>
            <w:r w:rsidR="00E92C82">
              <w:rPr>
                <w:rFonts w:ascii="Calibri" w:eastAsia="Times New Roman" w:hAnsi="Calibri" w:cs="Calibri"/>
                <w:color w:val="000000"/>
              </w:rPr>
              <w:t>72</w:t>
            </w:r>
            <w:r w:rsidR="00DE3AF5">
              <w:rPr>
                <w:rFonts w:ascii="Calibri" w:eastAsia="Times New Roman" w:hAnsi="Calibri" w:cs="Calibri"/>
                <w:color w:val="000000"/>
              </w:rPr>
              <w:t>,</w:t>
            </w:r>
            <w:r w:rsidR="00E92C82">
              <w:rPr>
                <w:rFonts w:ascii="Calibri" w:eastAsia="Times New Roman" w:hAnsi="Calibri" w:cs="Calibri"/>
                <w:color w:val="000000"/>
              </w:rPr>
              <w:t>959.73</w:t>
            </w:r>
          </w:p>
        </w:tc>
      </w:tr>
      <w:tr w:rsidR="00F80663" w:rsidRPr="00DD6EFC" w:rsidTr="00DD6EFC">
        <w:trPr>
          <w:trHeight w:val="315"/>
        </w:trPr>
        <w:tc>
          <w:tcPr>
            <w:tcW w:w="48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0663" w:rsidRPr="00DD6EFC" w:rsidTr="00DD6EF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80663" w:rsidRPr="00DD6EFC" w:rsidTr="00DD6EFC">
        <w:trPr>
          <w:trHeight w:val="315"/>
        </w:trPr>
        <w:tc>
          <w:tcPr>
            <w:tcW w:w="6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EFC">
              <w:rPr>
                <w:rFonts w:ascii="Calibri" w:eastAsia="Times New Roman" w:hAnsi="Calibri" w:cs="Calibri"/>
                <w:i/>
                <w:iCs/>
                <w:color w:val="000000"/>
              </w:rPr>
              <w:t>TRANSFERENCIAS, ASIGNACIONES Y OTRAS AYUDAS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80663" w:rsidRPr="00DD6EFC" w:rsidTr="00DD6EFC">
        <w:trPr>
          <w:trHeight w:val="300"/>
        </w:trPr>
        <w:tc>
          <w:tcPr>
            <w:tcW w:w="60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Transferencias Internas y Asignaciones al Sector Público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EFC" w:rsidRPr="00B5103A" w:rsidRDefault="00DD6EFC" w:rsidP="00E92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$</w:t>
            </w:r>
            <w:r w:rsidR="00E92C82">
              <w:rPr>
                <w:rFonts w:ascii="Calibri" w:eastAsia="Times New Roman" w:hAnsi="Calibri" w:cs="Calibri"/>
                <w:color w:val="000000"/>
              </w:rPr>
              <w:t>3,817,844.46</w:t>
            </w:r>
          </w:p>
        </w:tc>
      </w:tr>
      <w:tr w:rsidR="00F80663" w:rsidRPr="00DD6EFC" w:rsidTr="00DD6EFC">
        <w:trPr>
          <w:trHeight w:val="315"/>
        </w:trPr>
        <w:tc>
          <w:tcPr>
            <w:tcW w:w="60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0663" w:rsidRPr="00DD6EFC" w:rsidTr="00DD6EFC">
        <w:trPr>
          <w:trHeight w:val="300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Ayudas Sociales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E92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$</w:t>
            </w:r>
            <w:r w:rsidR="00C7642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92C82">
              <w:rPr>
                <w:rFonts w:ascii="Calibri" w:eastAsia="Times New Roman" w:hAnsi="Calibri" w:cs="Calibri"/>
                <w:color w:val="000000"/>
              </w:rPr>
              <w:t>74,800.00</w:t>
            </w:r>
          </w:p>
        </w:tc>
      </w:tr>
      <w:tr w:rsidR="00F80663" w:rsidRPr="00DD6EFC" w:rsidTr="00DD6EFC">
        <w:trPr>
          <w:trHeight w:val="315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0663" w:rsidRPr="00DD6EFC" w:rsidTr="00DD6EF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80663" w:rsidRPr="00DD6EFC" w:rsidTr="00DD6EFC">
        <w:trPr>
          <w:trHeight w:val="315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EFC">
              <w:rPr>
                <w:rFonts w:ascii="Calibri" w:eastAsia="Times New Roman" w:hAnsi="Calibri" w:cs="Calibri"/>
                <w:i/>
                <w:iCs/>
                <w:color w:val="000000"/>
              </w:rPr>
              <w:t>OTROS INGRESOS Y BENEFICIOS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80663" w:rsidRPr="00DD6EFC" w:rsidTr="00DD6EFC">
        <w:trPr>
          <w:trHeight w:val="300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Productos Financieros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DB1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$</w:t>
            </w:r>
            <w:r w:rsidR="00654EC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F80663" w:rsidRPr="00DD6EFC" w:rsidTr="00DD6EFC">
        <w:trPr>
          <w:trHeight w:val="315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0663" w:rsidRPr="00DD6EFC" w:rsidTr="00DD6EF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  <w:r w:rsidR="00EF5268">
              <w:rPr>
                <w:rFonts w:ascii="Calibri" w:eastAsia="Times New Roman" w:hAnsi="Calibri" w:cs="Calibri"/>
                <w:color w:val="000000"/>
              </w:rPr>
              <w:t xml:space="preserve">Otros Ingresos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EFC" w:rsidRDefault="00DD6EFC" w:rsidP="00DB61A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  <w:r w:rsidR="00F02ECF">
              <w:rPr>
                <w:rFonts w:ascii="Calibri" w:eastAsia="Times New Roman" w:hAnsi="Calibri" w:cs="Calibri"/>
                <w:color w:val="000000"/>
              </w:rPr>
              <w:t>$</w:t>
            </w:r>
            <w:r w:rsidR="00654EC1">
              <w:rPr>
                <w:rFonts w:ascii="Calibri" w:eastAsia="Times New Roman" w:hAnsi="Calibri" w:cs="Calibri"/>
                <w:color w:val="000000"/>
              </w:rPr>
              <w:t>0.66</w:t>
            </w:r>
          </w:p>
          <w:p w:rsidR="00D61D84" w:rsidRPr="00DD6EFC" w:rsidRDefault="00D61D84" w:rsidP="00DB61A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0663" w:rsidRPr="00DD6EFC" w:rsidTr="00DD6EFC">
        <w:trPr>
          <w:trHeight w:val="300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TOTAL INGRESOS: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EFC" w:rsidRPr="00DD6EFC" w:rsidRDefault="00DD6EFC" w:rsidP="00E92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D6EFC">
              <w:rPr>
                <w:rFonts w:ascii="Calibri" w:eastAsia="Times New Roman" w:hAnsi="Calibri" w:cs="Calibri"/>
                <w:color w:val="000000"/>
              </w:rPr>
              <w:t>$</w:t>
            </w:r>
            <w:r w:rsidR="00E92C82">
              <w:rPr>
                <w:rFonts w:ascii="Calibri" w:eastAsia="Times New Roman" w:hAnsi="Calibri" w:cs="Calibri"/>
                <w:color w:val="000000"/>
              </w:rPr>
              <w:t>3,965,604.85</w:t>
            </w:r>
          </w:p>
        </w:tc>
      </w:tr>
      <w:tr w:rsidR="00F80663" w:rsidRPr="00DD6EFC" w:rsidTr="00DD6EFC">
        <w:trPr>
          <w:trHeight w:val="315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EFC" w:rsidRPr="00DD6EFC" w:rsidRDefault="00DD6EFC" w:rsidP="00DD6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13BEC" w:rsidRDefault="00E13BEC" w:rsidP="00692CB7">
      <w:pPr>
        <w:jc w:val="both"/>
      </w:pPr>
    </w:p>
    <w:p w:rsidR="00B77D25" w:rsidRDefault="00E13BEC" w:rsidP="00692CB7">
      <w:pPr>
        <w:jc w:val="both"/>
      </w:pPr>
      <w:r>
        <w:t xml:space="preserve">Dentro de los ingresos por ayudas sociales, </w:t>
      </w:r>
      <w:r w:rsidR="006B2F46">
        <w:t xml:space="preserve">no </w:t>
      </w:r>
      <w:r>
        <w:t>existen ingresos en especie</w:t>
      </w:r>
      <w:r w:rsidR="00223708">
        <w:t xml:space="preserve"> recaudados</w:t>
      </w:r>
      <w:r w:rsidR="006B2F46">
        <w:t>.</w:t>
      </w:r>
      <w:r>
        <w:t xml:space="preserve"> </w:t>
      </w:r>
    </w:p>
    <w:p w:rsidR="000A2F9F" w:rsidRDefault="000A2F9F" w:rsidP="00692CB7">
      <w:pPr>
        <w:jc w:val="both"/>
        <w:rPr>
          <w:b/>
        </w:rPr>
      </w:pPr>
      <w:r>
        <w:rPr>
          <w:b/>
        </w:rPr>
        <w:t>4) NOTAS AL ESTADO DE FLUJOS DE EFECTIVO (ANTES ESTADO DE CAMBIOS EN LA SITUACION FINANCIERA)</w:t>
      </w:r>
    </w:p>
    <w:p w:rsidR="000A2F9F" w:rsidRDefault="000A2F9F" w:rsidP="00692CB7">
      <w:pPr>
        <w:jc w:val="both"/>
        <w:rPr>
          <w:b/>
        </w:rPr>
      </w:pPr>
      <w:r w:rsidRPr="00441744">
        <w:rPr>
          <w:b/>
        </w:rPr>
        <w:t>Efectivo y equivalentes</w:t>
      </w:r>
    </w:p>
    <w:p w:rsidR="000A2F9F" w:rsidRDefault="000A2F9F" w:rsidP="00692CB7">
      <w:pPr>
        <w:jc w:val="both"/>
      </w:pPr>
      <w:r>
        <w:t>1.- El análisis de los saldos inicial  final que figuran en la última parte del Estado de Flujo de Efectivo en la cuenta de efectivo y equivalentes es como sigue:</w:t>
      </w:r>
    </w:p>
    <w:bookmarkStart w:id="0" w:name="_MON_1403603509"/>
    <w:bookmarkStart w:id="1" w:name="_MON_1403084955"/>
    <w:bookmarkStart w:id="2" w:name="_MON_1403603429"/>
    <w:bookmarkStart w:id="3" w:name="_MON_1390396529"/>
    <w:bookmarkStart w:id="4" w:name="_MON_1403603441"/>
    <w:bookmarkEnd w:id="0"/>
    <w:bookmarkEnd w:id="1"/>
    <w:bookmarkEnd w:id="2"/>
    <w:bookmarkEnd w:id="3"/>
    <w:bookmarkEnd w:id="4"/>
    <w:bookmarkStart w:id="5" w:name="_MON_1403603488"/>
    <w:bookmarkEnd w:id="5"/>
    <w:p w:rsidR="008E393B" w:rsidRPr="000A2F9F" w:rsidRDefault="00E92C82" w:rsidP="008E393B">
      <w:pPr>
        <w:jc w:val="both"/>
      </w:pPr>
      <w:r>
        <w:object w:dxaOrig="625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1pt;height:178.6pt" o:ole="">
            <v:imagedata r:id="rId9" o:title=""/>
          </v:shape>
          <o:OLEObject Type="Embed" ProgID="Excel.Sheet.12" ShapeID="_x0000_i1025" DrawAspect="Content" ObjectID="_1528274912" r:id="rId10"/>
        </w:object>
      </w:r>
    </w:p>
    <w:p w:rsidR="003B0BAE" w:rsidRDefault="003B0BAE" w:rsidP="00692CB7">
      <w:pPr>
        <w:jc w:val="both"/>
      </w:pPr>
    </w:p>
    <w:p w:rsidR="002943E7" w:rsidRDefault="002943E7" w:rsidP="00692CB7">
      <w:pPr>
        <w:jc w:val="both"/>
      </w:pPr>
      <w:r>
        <w:t>2</w:t>
      </w:r>
      <w:r w:rsidRPr="00BC64AD">
        <w:t xml:space="preserve">.- </w:t>
      </w:r>
      <w:bookmarkStart w:id="6" w:name="OLE_LINK2"/>
      <w:r w:rsidRPr="00BC64AD">
        <w:t>Detall</w:t>
      </w:r>
      <w:r w:rsidR="00BC64AD" w:rsidRPr="00BC64AD">
        <w:t xml:space="preserve">e de </w:t>
      </w:r>
      <w:r w:rsidRPr="00BC64AD">
        <w:t>adquisiciones de bienes muebles e inmuebles con su monto global y que porcentaje de estas adquisiciones fueron realizadas mediante subsidios</w:t>
      </w:r>
      <w:r w:rsidR="00BC64AD" w:rsidRPr="00BC64AD">
        <w:t xml:space="preserve"> y donaciones</w:t>
      </w:r>
      <w:r w:rsidRPr="00BC64AD">
        <w:t>. Adicionalmente</w:t>
      </w:r>
      <w:r w:rsidR="00BC64AD" w:rsidRPr="00BC64AD">
        <w:t xml:space="preserve"> se </w:t>
      </w:r>
      <w:r w:rsidRPr="00BC64AD">
        <w:t xml:space="preserve"> revela el importe de los pagos </w:t>
      </w:r>
      <w:r w:rsidRPr="009B2CB3">
        <w:t>que durante el período se hicieron por la compra</w:t>
      </w:r>
      <w:r w:rsidRPr="00BC64AD">
        <w:t xml:space="preserve"> de los elementos citados.</w:t>
      </w:r>
    </w:p>
    <w:bookmarkEnd w:id="6"/>
    <w:p w:rsidR="003B0BAE" w:rsidRDefault="003B0BAE" w:rsidP="00692CB7">
      <w:pPr>
        <w:jc w:val="both"/>
      </w:pPr>
    </w:p>
    <w:tbl>
      <w:tblPr>
        <w:tblpPr w:leftFromText="141" w:rightFromText="141" w:vertAnchor="text" w:tblpY="1"/>
        <w:tblOverlap w:val="never"/>
        <w:tblW w:w="7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680"/>
        <w:gridCol w:w="1720"/>
        <w:gridCol w:w="2080"/>
      </w:tblGrid>
      <w:tr w:rsidR="00BC64AD" w:rsidRPr="00BC64AD" w:rsidTr="002B5484">
        <w:trPr>
          <w:trHeight w:val="61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Pr="00BC64AD" w:rsidRDefault="00BC64AD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A2511">
              <w:rPr>
                <w:rFonts w:ascii="Calibri" w:eastAsia="Times New Roman" w:hAnsi="Calibri" w:cs="Calibri"/>
                <w:color w:val="000000"/>
              </w:rPr>
              <w:t>CONCEPTO: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Pr="00BC64AD" w:rsidRDefault="00BC64AD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C64AD">
              <w:rPr>
                <w:rFonts w:ascii="Calibri" w:eastAsia="Times New Roman" w:hAnsi="Calibri" w:cs="Calibri"/>
                <w:color w:val="000000"/>
              </w:rPr>
              <w:t>COMPRADO O DONADO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4AD" w:rsidRPr="00BC64AD" w:rsidRDefault="00BC64AD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C64AD">
              <w:rPr>
                <w:rFonts w:ascii="Calibri" w:eastAsia="Times New Roman" w:hAnsi="Calibri" w:cs="Calibri"/>
                <w:color w:val="000000"/>
              </w:rPr>
              <w:t>PAGOS EN EL EJERCICIO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4AD" w:rsidRPr="00BC64AD" w:rsidRDefault="00BC64AD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C64AD">
              <w:rPr>
                <w:rFonts w:ascii="Calibri" w:eastAsia="Times New Roman" w:hAnsi="Calibri" w:cs="Calibri"/>
                <w:color w:val="000000"/>
              </w:rPr>
              <w:t>MONTO DE ADQUISICION</w:t>
            </w:r>
          </w:p>
        </w:tc>
      </w:tr>
      <w:tr w:rsidR="00BC64AD" w:rsidRPr="00BC64AD" w:rsidTr="002B5484">
        <w:trPr>
          <w:trHeight w:val="87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Pr="00C77E0A" w:rsidRDefault="00BC64AD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77E0A">
              <w:rPr>
                <w:rFonts w:ascii="Calibri" w:eastAsia="Times New Roman" w:hAnsi="Calibri" w:cs="Calibri"/>
                <w:color w:val="000000"/>
              </w:rPr>
              <w:lastRenderedPageBreak/>
              <w:t>MOBILIARIO Y EQUIPO DE ADMINISTRACIÓN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Default="00FD1C97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6051C">
              <w:rPr>
                <w:rFonts w:ascii="Calibri" w:eastAsia="Times New Roman" w:hAnsi="Calibri" w:cs="Calibri"/>
                <w:color w:val="000000"/>
              </w:rPr>
              <w:t xml:space="preserve">Donado y </w:t>
            </w:r>
            <w:r w:rsidR="00C77E0A" w:rsidRPr="008A1660">
              <w:rPr>
                <w:rFonts w:ascii="Calibri" w:eastAsia="Times New Roman" w:hAnsi="Calibri" w:cs="Calibri"/>
                <w:color w:val="000000"/>
              </w:rPr>
              <w:t>Comprado</w:t>
            </w:r>
            <w:r w:rsidR="0046051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:rsidR="00FD1C97" w:rsidRPr="00A0603B" w:rsidRDefault="00FD1C97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51C" w:rsidRDefault="0046051C" w:rsidP="009B2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B06029">
              <w:rPr>
                <w:rFonts w:ascii="Calibri" w:eastAsia="Times New Roman" w:hAnsi="Calibri" w:cs="Calibri"/>
                <w:color w:val="000000"/>
              </w:rPr>
              <w:t>0.00</w:t>
            </w:r>
          </w:p>
          <w:p w:rsidR="00FD1C97" w:rsidRPr="00441744" w:rsidRDefault="009C791F" w:rsidP="00E92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744">
              <w:rPr>
                <w:rFonts w:ascii="Calibri" w:eastAsia="Times New Roman" w:hAnsi="Calibri" w:cs="Calibri"/>
                <w:color w:val="000000"/>
              </w:rPr>
              <w:t>$</w:t>
            </w:r>
            <w:r w:rsidR="00E92C82">
              <w:rPr>
                <w:rFonts w:ascii="Calibri" w:eastAsia="Times New Roman" w:hAnsi="Calibri" w:cs="Calibri"/>
                <w:color w:val="000000"/>
              </w:rPr>
              <w:t>10,744.50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3A6" w:rsidRPr="00441744" w:rsidRDefault="000A23A6" w:rsidP="009C7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9C791F" w:rsidRPr="00441744" w:rsidRDefault="009C791F" w:rsidP="009C7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744">
              <w:rPr>
                <w:rFonts w:ascii="Calibri" w:eastAsia="Times New Roman" w:hAnsi="Calibri" w:cs="Calibri"/>
                <w:color w:val="000000"/>
              </w:rPr>
              <w:t>$</w:t>
            </w:r>
            <w:r w:rsidR="006B2F4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92C82">
              <w:rPr>
                <w:rFonts w:ascii="Calibri" w:eastAsia="Times New Roman" w:hAnsi="Calibri" w:cs="Calibri"/>
                <w:color w:val="000000"/>
              </w:rPr>
              <w:t>10,744.50</w:t>
            </w:r>
          </w:p>
          <w:p w:rsidR="00BC64AD" w:rsidRPr="00441744" w:rsidRDefault="00BC64AD" w:rsidP="00367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C64AD" w:rsidRPr="00BC64AD" w:rsidTr="002B5484">
        <w:trPr>
          <w:trHeight w:val="91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Pr="00A0603B" w:rsidRDefault="00BC64AD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C77E0A">
              <w:rPr>
                <w:rFonts w:ascii="Calibri" w:eastAsia="Times New Roman" w:hAnsi="Calibri" w:cs="Calibri"/>
                <w:color w:val="000000"/>
              </w:rPr>
              <w:t>MOBILIARIO Y EQUIPO EDUCACIONAL Y RECREATIVO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Default="0046051C" w:rsidP="00B20F0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Donado y </w:t>
            </w:r>
            <w:r w:rsidR="00B20F03">
              <w:rPr>
                <w:rFonts w:ascii="Calibri" w:eastAsia="Times New Roman" w:hAnsi="Calibri" w:cs="Calibri"/>
                <w:color w:val="000000"/>
              </w:rPr>
              <w:t>C</w:t>
            </w:r>
            <w:r w:rsidR="00BC64AD" w:rsidRPr="00C77E0A">
              <w:rPr>
                <w:rFonts w:ascii="Calibri" w:eastAsia="Times New Roman" w:hAnsi="Calibri" w:cs="Calibri"/>
                <w:color w:val="000000"/>
              </w:rPr>
              <w:t>omprado</w:t>
            </w:r>
          </w:p>
          <w:p w:rsidR="008172AA" w:rsidRPr="00A0603B" w:rsidRDefault="008172AA" w:rsidP="00B20F0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C" w:rsidRDefault="0046051C" w:rsidP="009B2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B06029">
              <w:rPr>
                <w:rFonts w:ascii="Calibri" w:eastAsia="Times New Roman" w:hAnsi="Calibri" w:cs="Calibri"/>
                <w:color w:val="000000"/>
              </w:rPr>
              <w:t>0.00</w:t>
            </w:r>
          </w:p>
          <w:p w:rsidR="00C6090B" w:rsidRPr="00441744" w:rsidRDefault="00C6090B" w:rsidP="00DE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744">
              <w:rPr>
                <w:rFonts w:ascii="Calibri" w:eastAsia="Times New Roman" w:hAnsi="Calibri" w:cs="Calibri"/>
                <w:color w:val="000000"/>
              </w:rPr>
              <w:t>$</w:t>
            </w:r>
            <w:r w:rsidR="004415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3AF5">
              <w:rPr>
                <w:rFonts w:ascii="Calibri" w:eastAsia="Times New Roman" w:hAnsi="Calibri" w:cs="Calibri"/>
                <w:color w:val="000000"/>
              </w:rPr>
              <w:t>74,060.96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4AD" w:rsidRPr="00441744" w:rsidRDefault="00D44510" w:rsidP="00DE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744">
              <w:rPr>
                <w:rFonts w:ascii="Calibri" w:eastAsia="Times New Roman" w:hAnsi="Calibri" w:cs="Calibri"/>
                <w:color w:val="000000"/>
              </w:rPr>
              <w:t xml:space="preserve">$ </w:t>
            </w:r>
            <w:r w:rsidR="00DE3AF5">
              <w:rPr>
                <w:rFonts w:ascii="Calibri" w:eastAsia="Times New Roman" w:hAnsi="Calibri" w:cs="Calibri"/>
                <w:color w:val="000000"/>
              </w:rPr>
              <w:t>74,060.96</w:t>
            </w:r>
          </w:p>
        </w:tc>
      </w:tr>
      <w:tr w:rsidR="00BC64AD" w:rsidRPr="00BC64AD" w:rsidTr="002B5484">
        <w:trPr>
          <w:trHeight w:val="91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Pr="00A0603B" w:rsidRDefault="00BC64AD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C77E0A">
              <w:rPr>
                <w:rFonts w:ascii="Calibri" w:eastAsia="Times New Roman" w:hAnsi="Calibri" w:cs="Calibri"/>
                <w:color w:val="000000"/>
              </w:rPr>
              <w:t>MAQUINARIA OTROS EQUIPOS Y HERRAMIENTAS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Pr="00A0603B" w:rsidRDefault="00F02ECF" w:rsidP="002B54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Donado y </w:t>
            </w:r>
            <w:r w:rsidR="00BC64AD" w:rsidRPr="00C77E0A">
              <w:rPr>
                <w:rFonts w:ascii="Calibri" w:eastAsia="Times New Roman" w:hAnsi="Calibri" w:cs="Calibri"/>
                <w:color w:val="000000"/>
              </w:rPr>
              <w:t xml:space="preserve"> Comprado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4AD" w:rsidRPr="00143DD0" w:rsidRDefault="00D44510" w:rsidP="002B5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$0.0</w:t>
            </w:r>
            <w:r w:rsidR="00B06029">
              <w:rPr>
                <w:rFonts w:ascii="Calibri" w:eastAsia="Times New Roman" w:hAnsi="Calibri" w:cs="Calibri"/>
                <w:color w:val="000000"/>
              </w:rPr>
              <w:t>0</w:t>
            </w:r>
          </w:p>
          <w:p w:rsidR="00F02ECF" w:rsidRPr="00143DD0" w:rsidRDefault="00F02ECF" w:rsidP="00DE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 xml:space="preserve">$ </w:t>
            </w:r>
            <w:r w:rsidR="00DE3AF5">
              <w:rPr>
                <w:rFonts w:ascii="Calibri" w:eastAsia="Times New Roman" w:hAnsi="Calibri" w:cs="Calibri"/>
                <w:color w:val="000000"/>
              </w:rPr>
              <w:t>15,658.72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484" w:rsidRPr="00143DD0" w:rsidRDefault="002B5484" w:rsidP="002B5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BC64AD" w:rsidRPr="00143DD0" w:rsidRDefault="00BC64AD" w:rsidP="002B5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$</w:t>
            </w:r>
            <w:r w:rsidR="00F02ECF" w:rsidRPr="00143D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3AF5">
              <w:rPr>
                <w:rFonts w:ascii="Calibri" w:eastAsia="Times New Roman" w:hAnsi="Calibri" w:cs="Calibri"/>
                <w:color w:val="000000"/>
              </w:rPr>
              <w:t>15,658.72</w:t>
            </w:r>
          </w:p>
          <w:p w:rsidR="002B5484" w:rsidRPr="00143DD0" w:rsidRDefault="002B5484" w:rsidP="002B5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C64AD" w:rsidRPr="00BC64AD" w:rsidTr="002B5484">
        <w:trPr>
          <w:trHeight w:val="87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Pr="00C77E0A" w:rsidRDefault="00706F03" w:rsidP="00706F0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EQUIPO DE TRANSPORTE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AD" w:rsidRPr="00C77E0A" w:rsidRDefault="003676A8" w:rsidP="003676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77E0A">
              <w:rPr>
                <w:rFonts w:ascii="Calibri" w:eastAsia="Times New Roman" w:hAnsi="Calibri" w:cs="Calibri"/>
                <w:color w:val="000000"/>
              </w:rPr>
              <w:t xml:space="preserve">Comprado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6A8" w:rsidRPr="00143DD0" w:rsidRDefault="00D44510" w:rsidP="00D44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4AD" w:rsidRPr="00143DD0" w:rsidRDefault="006B2F46" w:rsidP="00D44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</w:t>
            </w:r>
            <w:r w:rsidR="00BC64AD" w:rsidRPr="00143DD0">
              <w:rPr>
                <w:rFonts w:ascii="Calibri" w:eastAsia="Times New Roman" w:hAnsi="Calibri" w:cs="Calibri"/>
                <w:color w:val="000000"/>
              </w:rPr>
              <w:t>$</w:t>
            </w:r>
            <w:r w:rsidR="00D44510" w:rsidRPr="00143DD0">
              <w:rPr>
                <w:rFonts w:ascii="Calibri" w:eastAsia="Times New Roman" w:hAnsi="Calibri" w:cs="Calibri"/>
                <w:color w:val="000000"/>
              </w:rPr>
              <w:t>0</w:t>
            </w:r>
            <w:r w:rsidR="00706F03" w:rsidRPr="00143DD0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</w:tbl>
    <w:p w:rsidR="00706F03" w:rsidRDefault="00706F03" w:rsidP="00692CB7">
      <w:pPr>
        <w:jc w:val="both"/>
      </w:pPr>
    </w:p>
    <w:p w:rsidR="003D41D2" w:rsidRDefault="003D41D2" w:rsidP="00692CB7">
      <w:pPr>
        <w:jc w:val="both"/>
      </w:pPr>
    </w:p>
    <w:p w:rsidR="003D41D2" w:rsidRDefault="003D41D2" w:rsidP="00692CB7">
      <w:pPr>
        <w:jc w:val="both"/>
      </w:pPr>
    </w:p>
    <w:p w:rsidR="003D41D2" w:rsidRDefault="003D41D2" w:rsidP="00692CB7">
      <w:pPr>
        <w:jc w:val="both"/>
      </w:pPr>
    </w:p>
    <w:p w:rsidR="003D41D2" w:rsidRDefault="003D41D2" w:rsidP="00692CB7">
      <w:pPr>
        <w:jc w:val="both"/>
      </w:pPr>
    </w:p>
    <w:p w:rsidR="003D41D2" w:rsidRDefault="003D41D2" w:rsidP="00692CB7">
      <w:pPr>
        <w:jc w:val="both"/>
      </w:pPr>
    </w:p>
    <w:tbl>
      <w:tblPr>
        <w:tblpPr w:leftFromText="141" w:rightFromText="141" w:vertAnchor="text" w:tblpY="1"/>
        <w:tblOverlap w:val="never"/>
        <w:tblW w:w="7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680"/>
        <w:gridCol w:w="1720"/>
        <w:gridCol w:w="2080"/>
      </w:tblGrid>
      <w:tr w:rsidR="00706F03" w:rsidRPr="00C77E0A" w:rsidTr="00B20E90">
        <w:trPr>
          <w:trHeight w:val="87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F03" w:rsidRPr="00C77E0A" w:rsidRDefault="00706F03" w:rsidP="00B20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77E0A">
              <w:rPr>
                <w:rFonts w:ascii="Calibri" w:eastAsia="Times New Roman" w:hAnsi="Calibri" w:cs="Calibri"/>
                <w:color w:val="000000"/>
              </w:rPr>
              <w:t>COLECCIONES OBRAS DE ARTE Y OBJETOS VALIOSOS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F03" w:rsidRPr="00C77E0A" w:rsidRDefault="00706F03" w:rsidP="00B20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Donado y </w:t>
            </w:r>
            <w:r w:rsidRPr="00C77E0A">
              <w:rPr>
                <w:rFonts w:ascii="Calibri" w:eastAsia="Times New Roman" w:hAnsi="Calibri" w:cs="Calibri"/>
                <w:color w:val="000000"/>
              </w:rPr>
              <w:t xml:space="preserve"> Comprado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029" w:rsidRDefault="00706F03" w:rsidP="00B06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$</w:t>
            </w:r>
            <w:r w:rsidR="00D44510" w:rsidRPr="00143D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6B2F46">
              <w:rPr>
                <w:rFonts w:ascii="Calibri" w:eastAsia="Times New Roman" w:hAnsi="Calibri" w:cs="Calibri"/>
                <w:color w:val="000000"/>
              </w:rPr>
              <w:t>0.00</w:t>
            </w:r>
          </w:p>
          <w:p w:rsidR="00706F03" w:rsidRPr="00143DD0" w:rsidRDefault="00706F03" w:rsidP="00B06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$</w:t>
            </w:r>
            <w:r w:rsidR="006B2F4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06029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F03" w:rsidRPr="00143DD0" w:rsidRDefault="00706F03" w:rsidP="006B2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$</w:t>
            </w:r>
            <w:r w:rsidR="00DB12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6B2F46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</w:tbl>
    <w:p w:rsidR="003B0BAE" w:rsidRDefault="003B0BAE" w:rsidP="00692CB7">
      <w:pPr>
        <w:jc w:val="both"/>
      </w:pPr>
    </w:p>
    <w:p w:rsidR="003B0BAE" w:rsidRDefault="003B0BAE" w:rsidP="00692CB7">
      <w:pPr>
        <w:jc w:val="both"/>
      </w:pPr>
    </w:p>
    <w:p w:rsidR="003B0BAE" w:rsidRDefault="003B0BAE" w:rsidP="00692CB7">
      <w:pPr>
        <w:jc w:val="both"/>
      </w:pPr>
    </w:p>
    <w:p w:rsidR="00316B20" w:rsidRDefault="00316B20" w:rsidP="00692CB7">
      <w:pPr>
        <w:jc w:val="both"/>
      </w:pPr>
    </w:p>
    <w:p w:rsidR="00316B20" w:rsidRDefault="00316B20" w:rsidP="00692CB7">
      <w:pPr>
        <w:jc w:val="both"/>
      </w:pPr>
    </w:p>
    <w:p w:rsidR="006876E0" w:rsidRDefault="002943E7" w:rsidP="00692CB7">
      <w:pPr>
        <w:jc w:val="both"/>
      </w:pPr>
      <w:r>
        <w:t xml:space="preserve">3.- </w:t>
      </w:r>
      <w:r w:rsidRPr="00B77D25">
        <w:t>Conciliación</w:t>
      </w:r>
      <w:r>
        <w:t xml:space="preserve"> de los </w:t>
      </w:r>
      <w:r w:rsidRPr="00BC04CC">
        <w:t>Flujos de Efectivo netos</w:t>
      </w:r>
      <w:r>
        <w:t xml:space="preserve"> de las Actividades de Operación y la cuenta de Ahorro</w:t>
      </w:r>
      <w:r w:rsidR="004B2AB6">
        <w:t xml:space="preserve">/Desahorro antes de Rubros Extraordinarios. </w:t>
      </w:r>
    </w:p>
    <w:bookmarkStart w:id="7" w:name="_MON_1403223569"/>
    <w:bookmarkStart w:id="8" w:name="_MON_1403223810"/>
    <w:bookmarkStart w:id="9" w:name="_MON_1403976705"/>
    <w:bookmarkStart w:id="10" w:name="_MON_1403977287"/>
    <w:bookmarkStart w:id="11" w:name="_MON_1403977342"/>
    <w:bookmarkStart w:id="12" w:name="_MON_1403085408"/>
    <w:bookmarkStart w:id="13" w:name="_MON_1390398342"/>
    <w:bookmarkStart w:id="14" w:name="_MON_1403226154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403222588"/>
    <w:bookmarkEnd w:id="15"/>
    <w:p w:rsidR="003B0BAE" w:rsidRPr="003B0BAE" w:rsidRDefault="0099582D" w:rsidP="006B2F46">
      <w:pPr>
        <w:jc w:val="right"/>
      </w:pPr>
      <w:r w:rsidRPr="00A64C34">
        <w:object w:dxaOrig="7916" w:dyaOrig="5829">
          <v:shape id="_x0000_i1026" type="#_x0000_t75" style="width:394.6pt;height:308.55pt" o:ole="">
            <v:imagedata r:id="rId11" o:title=""/>
          </v:shape>
          <o:OLEObject Type="Embed" ProgID="Excel.Sheet.12" ShapeID="_x0000_i1026" DrawAspect="Content" ObjectID="_1528274913" r:id="rId12"/>
        </w:object>
      </w:r>
    </w:p>
    <w:p w:rsidR="003B0BAE" w:rsidRDefault="003B0BAE" w:rsidP="00692CB7">
      <w:pPr>
        <w:jc w:val="both"/>
        <w:rPr>
          <w:b/>
        </w:rPr>
      </w:pPr>
    </w:p>
    <w:p w:rsidR="00AD062E" w:rsidRDefault="002943E7" w:rsidP="00692CB7">
      <w:pPr>
        <w:jc w:val="both"/>
        <w:rPr>
          <w:b/>
        </w:rPr>
      </w:pPr>
      <w:r w:rsidRPr="00216778">
        <w:rPr>
          <w:b/>
        </w:rPr>
        <w:t xml:space="preserve">  </w:t>
      </w:r>
      <w:r w:rsidR="00216778" w:rsidRPr="00216778">
        <w:rPr>
          <w:b/>
        </w:rPr>
        <w:t>H.</w:t>
      </w:r>
      <w:r w:rsidR="00A41DAA" w:rsidRPr="00744D2D">
        <w:rPr>
          <w:b/>
        </w:rPr>
        <w:t xml:space="preserve">2) NOTAS DE </w:t>
      </w:r>
      <w:r w:rsidR="00A41DAA" w:rsidRPr="00BC64AD">
        <w:rPr>
          <w:b/>
        </w:rPr>
        <w:t>MEMORIA</w:t>
      </w:r>
      <w:r w:rsidR="002E51BC" w:rsidRPr="00BC64AD">
        <w:rPr>
          <w:b/>
        </w:rPr>
        <w:t xml:space="preserve"> </w:t>
      </w:r>
      <w:r w:rsidR="00216778" w:rsidRPr="00BC64AD">
        <w:rPr>
          <w:b/>
        </w:rPr>
        <w:t>(Cuentas de Orden)</w:t>
      </w:r>
    </w:p>
    <w:p w:rsidR="00216778" w:rsidRDefault="00216778" w:rsidP="00692CB7">
      <w:pPr>
        <w:jc w:val="both"/>
      </w:pPr>
      <w:r w:rsidRPr="00BC64AD">
        <w:t xml:space="preserve">Las cuentas de orden </w:t>
      </w:r>
      <w:r w:rsidR="00BC64AD">
        <w:t xml:space="preserve">registra </w:t>
      </w:r>
      <w:r w:rsidRPr="00BC64AD">
        <w:t xml:space="preserve"> movimientos de valores que no afecten o modifiquen el balance del ente contable, sin embargo, su incorporación es necesaria con fines de recordatorio contable, de control y en general sob</w:t>
      </w:r>
      <w:r w:rsidR="00BC64AD">
        <w:t xml:space="preserve">re los aspectos administrativos y </w:t>
      </w:r>
      <w:r w:rsidRPr="00BC64AD">
        <w:t xml:space="preserve"> consigna</w:t>
      </w:r>
      <w:r w:rsidR="00BC64AD">
        <w:t xml:space="preserve"> </w:t>
      </w:r>
      <w:r w:rsidRPr="00BC64AD">
        <w:t xml:space="preserve"> derechos </w:t>
      </w:r>
      <w:r w:rsidR="00BC64AD">
        <w:t>y</w:t>
      </w:r>
      <w:r w:rsidRPr="00BC64AD">
        <w:t xml:space="preserve"> responsabilidades contingentes que </w:t>
      </w:r>
      <w:r w:rsidR="00BC64AD">
        <w:t>afectarían en el futuro</w:t>
      </w:r>
      <w:r w:rsidRPr="00BC64AD">
        <w:t>.</w:t>
      </w:r>
    </w:p>
    <w:p w:rsidR="00216778" w:rsidRDefault="00216778" w:rsidP="00692CB7">
      <w:pPr>
        <w:jc w:val="both"/>
        <w:rPr>
          <w:b/>
        </w:rPr>
      </w:pPr>
      <w:r>
        <w:rPr>
          <w:b/>
        </w:rPr>
        <w:t xml:space="preserve">Cuentas de Orden </w:t>
      </w:r>
      <w:r w:rsidR="00B20E90">
        <w:rPr>
          <w:b/>
        </w:rPr>
        <w:t>Presupuestales:</w:t>
      </w:r>
    </w:p>
    <w:tbl>
      <w:tblPr>
        <w:tblW w:w="7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947"/>
        <w:gridCol w:w="4180"/>
        <w:gridCol w:w="1895"/>
      </w:tblGrid>
      <w:tr w:rsidR="0099582D" w:rsidRPr="00B20E90" w:rsidTr="00B20E90">
        <w:trPr>
          <w:trHeight w:val="18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20E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E90" w:rsidRPr="00B20E90" w:rsidRDefault="00B20E90" w:rsidP="00B20E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0E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0E90" w:rsidRPr="00B20E90" w:rsidRDefault="00B20E90" w:rsidP="00B20E9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</w:pPr>
            <w:r w:rsidRPr="00B20E9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  <w:t>2016</w:t>
            </w:r>
          </w:p>
        </w:tc>
      </w:tr>
      <w:tr w:rsidR="0099582D" w:rsidRPr="00B20E90" w:rsidTr="00B20E90">
        <w:trPr>
          <w:trHeight w:val="32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20E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20E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99582D" w:rsidRPr="00B20E90" w:rsidTr="00B20E90">
        <w:trPr>
          <w:trHeight w:val="296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</w:rPr>
              <w:t>CUENTAS DE ORDEN PRESUPUESTARIAS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20E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9582D" w:rsidRPr="00B20E90" w:rsidTr="00B20E90">
        <w:trPr>
          <w:trHeight w:val="411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  <w:u w:val="single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  <w:u w:val="single"/>
              </w:rPr>
              <w:t>LEY DE INGRESOS</w:t>
            </w:r>
            <w:r w:rsidR="00B776E3"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  <w:u w:val="single"/>
              </w:rPr>
              <w:t>: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20E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9582D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LEY DE INGRESOS ESTIMADA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$16,725,159.00</w:t>
            </w:r>
          </w:p>
        </w:tc>
      </w:tr>
      <w:tr w:rsidR="0099582D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LEY DE INGRESOS POR EJECUTAR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99582D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</w:t>
            </w:r>
            <w:r w:rsidR="0099582D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12,759,554.81</w:t>
            </w:r>
          </w:p>
        </w:tc>
      </w:tr>
      <w:tr w:rsidR="0099582D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MODIFICACIONES A LA LEY DE INGRESOS ESTIMADA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$0.00</w:t>
            </w:r>
          </w:p>
        </w:tc>
      </w:tr>
      <w:tr w:rsidR="0099582D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LEY DE INGRESOS DEVENGADA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99582D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</w:t>
            </w:r>
            <w:r w:rsidR="0099582D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3,965,604.19</w:t>
            </w:r>
          </w:p>
        </w:tc>
      </w:tr>
      <w:tr w:rsidR="0099582D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LEY DE INGRESOS RECAUDADA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99582D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</w:t>
            </w:r>
            <w:r w:rsidR="0099582D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3,953,169.29</w:t>
            </w:r>
          </w:p>
        </w:tc>
      </w:tr>
      <w:tr w:rsidR="0099582D" w:rsidRPr="00B20E90" w:rsidTr="00B20E90">
        <w:trPr>
          <w:trHeight w:val="411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76E3" w:rsidRDefault="00B776E3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  <w:u w:val="single"/>
              </w:rPr>
            </w:pPr>
          </w:p>
          <w:p w:rsid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  <w:u w:val="single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  <w:u w:val="single"/>
              </w:rPr>
              <w:t>PRESUPUESTO DE EGRESOS</w:t>
            </w:r>
            <w:r w:rsidR="00B776E3"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  <w:u w:val="single"/>
              </w:rPr>
              <w:t>:</w:t>
            </w:r>
          </w:p>
          <w:p w:rsidR="00B776E3" w:rsidRPr="00B20E90" w:rsidRDefault="00B776E3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20E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9582D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PRESUPUESTO DE EGRESOS APROBADO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$16,725,159.00</w:t>
            </w:r>
          </w:p>
        </w:tc>
      </w:tr>
      <w:tr w:rsidR="0099582D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PRESUPUESTO DE EGRESOS POR EJERCER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99582D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$1</w:t>
            </w:r>
            <w:r w:rsidR="0099582D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2</w:t>
            </w: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99582D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978,022.36</w:t>
            </w:r>
          </w:p>
        </w:tc>
      </w:tr>
      <w:tr w:rsidR="0099582D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MODIFICACIONES AL PRESUPUESTO DE EGRESOS APROBADO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$0.00</w:t>
            </w:r>
          </w:p>
        </w:tc>
      </w:tr>
      <w:tr w:rsidR="0099582D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PRESUPUESTO DE EGRESOS COMPROMETIDO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99582D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</w:t>
            </w:r>
            <w:r w:rsidR="0099582D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3,747,136.64</w:t>
            </w:r>
          </w:p>
        </w:tc>
      </w:tr>
      <w:tr w:rsidR="0099582D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PRESUPUESTO DE EGRESOS DEVENGADO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99582D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</w:t>
            </w:r>
            <w:r w:rsidR="0099582D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3,680,487.98</w:t>
            </w:r>
          </w:p>
        </w:tc>
      </w:tr>
      <w:tr w:rsidR="0099582D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PRESUPUESTO DE EGRESOS EJERCIDO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99582D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</w:t>
            </w:r>
            <w:r w:rsidR="0099582D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3,680,487.98</w:t>
            </w:r>
          </w:p>
        </w:tc>
      </w:tr>
      <w:tr w:rsidR="0099582D" w:rsidRPr="00B20E90" w:rsidTr="00B20E90">
        <w:trPr>
          <w:trHeight w:val="253"/>
        </w:trPr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B20E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PRESUPUESTO DE EGRESOS PAGADO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E90" w:rsidRPr="00B20E90" w:rsidRDefault="00B20E90" w:rsidP="0099582D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</w:pPr>
            <w:r w:rsidRPr="00B20E90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$</w:t>
            </w:r>
            <w:r w:rsidR="0099582D">
              <w:rPr>
                <w:rFonts w:ascii="Microsoft Sans Serif" w:eastAsia="Times New Roman" w:hAnsi="Microsoft Sans Serif" w:cs="Microsoft Sans Serif"/>
                <w:bCs/>
                <w:i/>
                <w:iCs/>
                <w:color w:val="000000"/>
                <w:sz w:val="18"/>
                <w:szCs w:val="18"/>
              </w:rPr>
              <w:t>3,620,397.54</w:t>
            </w:r>
          </w:p>
        </w:tc>
      </w:tr>
    </w:tbl>
    <w:p w:rsidR="00B20E90" w:rsidRDefault="00B20E90" w:rsidP="00692CB7">
      <w:pPr>
        <w:jc w:val="both"/>
        <w:rPr>
          <w:b/>
        </w:rPr>
      </w:pPr>
    </w:p>
    <w:p w:rsidR="00B20E90" w:rsidRDefault="00B20E90" w:rsidP="00692CB7">
      <w:pPr>
        <w:jc w:val="both"/>
        <w:rPr>
          <w:b/>
        </w:rPr>
      </w:pPr>
    </w:p>
    <w:p w:rsidR="00B20E90" w:rsidRDefault="00B20E90" w:rsidP="00692CB7">
      <w:pPr>
        <w:jc w:val="both"/>
        <w:rPr>
          <w:b/>
        </w:rPr>
      </w:pPr>
    </w:p>
    <w:p w:rsidR="00216778" w:rsidRPr="00216778" w:rsidRDefault="00216778" w:rsidP="00744D2D">
      <w:pPr>
        <w:spacing w:after="0"/>
        <w:jc w:val="both"/>
        <w:rPr>
          <w:b/>
        </w:rPr>
      </w:pPr>
      <w:r w:rsidRPr="00216778">
        <w:rPr>
          <w:b/>
        </w:rPr>
        <w:t>Contables:</w:t>
      </w:r>
    </w:p>
    <w:p w:rsidR="00744D2D" w:rsidRDefault="00744D2D" w:rsidP="00744D2D">
      <w:pPr>
        <w:spacing w:after="0"/>
        <w:jc w:val="both"/>
      </w:pPr>
      <w:r>
        <w:t xml:space="preserve">Juicios: la institución está en litigio con los juicios laborables con las siguientes personas </w:t>
      </w:r>
    </w:p>
    <w:p w:rsidR="00B20E90" w:rsidRDefault="00B20E90" w:rsidP="00744D2D">
      <w:pPr>
        <w:spacing w:after="0"/>
        <w:jc w:val="both"/>
      </w:pPr>
    </w:p>
    <w:p w:rsidR="00744D2D" w:rsidRDefault="00392AE1" w:rsidP="00744D2D">
      <w:pPr>
        <w:spacing w:after="0"/>
        <w:jc w:val="both"/>
      </w:pPr>
      <w:r>
        <w:t>1</w:t>
      </w:r>
      <w:r w:rsidR="007D37F4">
        <w:t>.-</w:t>
      </w:r>
      <w:r w:rsidR="00744D2D">
        <w:t>Ernesto Manuel Serna Núñez</w:t>
      </w:r>
      <w:r w:rsidR="007A69A9">
        <w:t>; aún se encuentra en proceso la demanda laboral.</w:t>
      </w:r>
    </w:p>
    <w:p w:rsidR="00303CE0" w:rsidRPr="00744D2D" w:rsidRDefault="00303CE0" w:rsidP="00692CB7">
      <w:pPr>
        <w:jc w:val="both"/>
        <w:rPr>
          <w:b/>
        </w:rPr>
      </w:pPr>
    </w:p>
    <w:p w:rsidR="00915C7D" w:rsidRPr="00915C7D" w:rsidRDefault="00530664" w:rsidP="00692CB7">
      <w:pPr>
        <w:spacing w:after="0"/>
        <w:jc w:val="both"/>
        <w:rPr>
          <w:b/>
        </w:rPr>
      </w:pPr>
      <w:r>
        <w:rPr>
          <w:b/>
        </w:rPr>
        <w:t>H.</w:t>
      </w:r>
      <w:r w:rsidR="00915C7D" w:rsidRPr="00915C7D">
        <w:rPr>
          <w:b/>
        </w:rPr>
        <w:t>3</w:t>
      </w:r>
      <w:r w:rsidR="00744D2D">
        <w:rPr>
          <w:b/>
        </w:rPr>
        <w:t>)</w:t>
      </w:r>
      <w:r w:rsidR="00915C7D" w:rsidRPr="00915C7D">
        <w:rPr>
          <w:b/>
        </w:rPr>
        <w:t xml:space="preserve"> Notas de Gestión Administrativa</w:t>
      </w:r>
    </w:p>
    <w:p w:rsidR="006F2558" w:rsidRDefault="00530664" w:rsidP="00692CB7">
      <w:pPr>
        <w:spacing w:after="0"/>
        <w:jc w:val="both"/>
        <w:rPr>
          <w:b/>
        </w:rPr>
      </w:pPr>
      <w:r>
        <w:rPr>
          <w:b/>
        </w:rPr>
        <w:t>1.- Introducción</w:t>
      </w:r>
    </w:p>
    <w:p w:rsidR="00854B3A" w:rsidRDefault="00854B3A" w:rsidP="00692CB7">
      <w:pPr>
        <w:spacing w:after="0"/>
        <w:jc w:val="both"/>
        <w:rPr>
          <w:b/>
        </w:rPr>
      </w:pPr>
    </w:p>
    <w:p w:rsidR="00854B3A" w:rsidRDefault="00854B3A" w:rsidP="00692CB7">
      <w:pPr>
        <w:spacing w:after="0"/>
        <w:jc w:val="both"/>
        <w:rPr>
          <w:b/>
        </w:rPr>
      </w:pPr>
    </w:p>
    <w:p w:rsidR="00064554" w:rsidRPr="00530664" w:rsidRDefault="00064554" w:rsidP="00064554">
      <w:pPr>
        <w:spacing w:after="0"/>
        <w:jc w:val="both"/>
      </w:pPr>
      <w:r>
        <w:lastRenderedPageBreak/>
        <w:t xml:space="preserve">Los  Estados Financieros del  ente  </w:t>
      </w:r>
      <w:r w:rsidR="00C118EB">
        <w:t>se presentan</w:t>
      </w:r>
      <w:r>
        <w:t xml:space="preserve"> su  información financiera con un proceso paulatino de cambios drásticos en la presentación de las cuentas que venía utilizando y así mismo se está incorporando a  la normatividad que emite la CONAC</w:t>
      </w:r>
    </w:p>
    <w:p w:rsidR="00064554" w:rsidRPr="00530664" w:rsidRDefault="00064554" w:rsidP="00064554">
      <w:pPr>
        <w:spacing w:after="0"/>
        <w:jc w:val="both"/>
      </w:pPr>
    </w:p>
    <w:p w:rsidR="00064554" w:rsidRDefault="00064554" w:rsidP="00064554">
      <w:pPr>
        <w:spacing w:after="0"/>
        <w:jc w:val="both"/>
      </w:pPr>
    </w:p>
    <w:p w:rsidR="00064554" w:rsidRDefault="00064554" w:rsidP="00064554">
      <w:pPr>
        <w:spacing w:after="0"/>
        <w:jc w:val="both"/>
        <w:rPr>
          <w:b/>
        </w:rPr>
      </w:pPr>
      <w:r>
        <w:rPr>
          <w:b/>
        </w:rPr>
        <w:t>2.- Panorama económico y Financiero</w:t>
      </w:r>
    </w:p>
    <w:p w:rsidR="00064554" w:rsidRDefault="00064554" w:rsidP="00064554">
      <w:pPr>
        <w:spacing w:after="0"/>
        <w:jc w:val="both"/>
        <w:rPr>
          <w:b/>
        </w:rPr>
      </w:pPr>
    </w:p>
    <w:p w:rsidR="00064554" w:rsidRDefault="00064554" w:rsidP="00064554">
      <w:pPr>
        <w:spacing w:after="0"/>
        <w:jc w:val="both"/>
        <w:rPr>
          <w:b/>
        </w:rPr>
      </w:pPr>
      <w:r w:rsidRPr="00D76689">
        <w:t xml:space="preserve">En este periodo el organismo inicia </w:t>
      </w:r>
      <w:r w:rsidR="000B6F29">
        <w:t xml:space="preserve">su ciclo de </w:t>
      </w:r>
      <w:r w:rsidRPr="00D76689">
        <w:t xml:space="preserve"> operaciones manteniendo un bajo nivel de endeudamiento, así como logra  sus compromisos con proveedores, que comparado con el año anterior e</w:t>
      </w:r>
      <w:r w:rsidR="000B6F29">
        <w:t>s</w:t>
      </w:r>
      <w:r w:rsidRPr="00D76689">
        <w:t xml:space="preserve"> s</w:t>
      </w:r>
      <w:r w:rsidR="000B6F29">
        <w:t xml:space="preserve">imilar </w:t>
      </w:r>
      <w:r w:rsidRPr="00D76689">
        <w:t xml:space="preserve"> el pasivo.</w:t>
      </w:r>
      <w:r>
        <w:rPr>
          <w:b/>
        </w:rPr>
        <w:t xml:space="preserve"> </w:t>
      </w:r>
    </w:p>
    <w:p w:rsidR="00064554" w:rsidRDefault="00064554" w:rsidP="00064554">
      <w:pPr>
        <w:spacing w:after="0"/>
        <w:jc w:val="both"/>
      </w:pPr>
    </w:p>
    <w:p w:rsidR="00530664" w:rsidRDefault="00530664" w:rsidP="00692CB7">
      <w:pPr>
        <w:spacing w:after="0"/>
        <w:jc w:val="both"/>
      </w:pPr>
    </w:p>
    <w:p w:rsidR="00530664" w:rsidRDefault="00530664" w:rsidP="00692CB7">
      <w:pPr>
        <w:spacing w:after="0"/>
        <w:jc w:val="both"/>
        <w:rPr>
          <w:b/>
        </w:rPr>
      </w:pPr>
      <w:r>
        <w:rPr>
          <w:b/>
        </w:rPr>
        <w:t>3.- Autorización e Historia</w:t>
      </w:r>
    </w:p>
    <w:p w:rsidR="00530664" w:rsidRDefault="00530664" w:rsidP="00692CB7">
      <w:pPr>
        <w:spacing w:after="0"/>
        <w:jc w:val="both"/>
        <w:rPr>
          <w:b/>
        </w:rPr>
      </w:pPr>
    </w:p>
    <w:p w:rsidR="001E1C71" w:rsidRPr="001E1C71" w:rsidRDefault="001E1C71" w:rsidP="00692CB7">
      <w:pPr>
        <w:spacing w:after="0"/>
        <w:jc w:val="both"/>
      </w:pPr>
    </w:p>
    <w:p w:rsidR="006F2558" w:rsidRDefault="008171E2" w:rsidP="00692CB7">
      <w:pPr>
        <w:spacing w:after="0"/>
        <w:jc w:val="both"/>
      </w:pPr>
      <w:r>
        <w:t>a) Fecha de Creación: 22 de Diciembre de 1993</w:t>
      </w:r>
    </w:p>
    <w:p w:rsidR="001E1C71" w:rsidRDefault="001E1C71" w:rsidP="00692CB7">
      <w:pPr>
        <w:spacing w:after="0"/>
        <w:jc w:val="both"/>
      </w:pPr>
    </w:p>
    <w:p w:rsidR="00915C7D" w:rsidRDefault="006F2558" w:rsidP="00692CB7">
      <w:pPr>
        <w:spacing w:after="0"/>
        <w:jc w:val="both"/>
        <w:rPr>
          <w:b/>
        </w:rPr>
      </w:pPr>
      <w:r>
        <w:rPr>
          <w:b/>
        </w:rPr>
        <w:t>4</w:t>
      </w:r>
      <w:r w:rsidR="008171E2" w:rsidRPr="008171E2">
        <w:rPr>
          <w:b/>
        </w:rPr>
        <w:t>.- Organización y Objeto Social</w:t>
      </w:r>
    </w:p>
    <w:p w:rsidR="008171E2" w:rsidRDefault="008171E2" w:rsidP="00692CB7">
      <w:pPr>
        <w:spacing w:after="0"/>
        <w:jc w:val="both"/>
      </w:pPr>
    </w:p>
    <w:p w:rsidR="008171E2" w:rsidRDefault="008171E2" w:rsidP="00692CB7">
      <w:pPr>
        <w:pStyle w:val="Prrafodelista"/>
        <w:numPr>
          <w:ilvl w:val="0"/>
          <w:numId w:val="1"/>
        </w:numPr>
        <w:spacing w:after="0"/>
        <w:jc w:val="both"/>
      </w:pPr>
      <w:r>
        <w:t>Objeto Social: La promoción y el Fomento de las Bellas Artes</w:t>
      </w:r>
      <w:r w:rsidR="00930FC6">
        <w:t>.</w:t>
      </w:r>
    </w:p>
    <w:p w:rsidR="008171E2" w:rsidRDefault="008171E2" w:rsidP="00692CB7">
      <w:pPr>
        <w:pStyle w:val="Prrafodelista"/>
        <w:numPr>
          <w:ilvl w:val="0"/>
          <w:numId w:val="1"/>
        </w:numPr>
        <w:spacing w:after="0"/>
        <w:jc w:val="both"/>
      </w:pPr>
      <w:r>
        <w:t xml:space="preserve">Principal Actividad: En general , la Administración de Museos, Recibir Donativos de Dinero, Inmuebles, Obras de Arte, Libros, Periódicos, Revistas o Bienes de Cualquier otra Naturaleza de los Asociados, de Terceras Personas </w:t>
      </w:r>
      <w:r w:rsidR="00064698">
        <w:t>Físicas</w:t>
      </w:r>
      <w:r>
        <w:t xml:space="preserve"> o Morales y de Entidades Gubernamentales.</w:t>
      </w:r>
    </w:p>
    <w:p w:rsidR="008171E2" w:rsidRDefault="008171E2" w:rsidP="00692CB7">
      <w:pPr>
        <w:pStyle w:val="Prrafodelista"/>
        <w:numPr>
          <w:ilvl w:val="0"/>
          <w:numId w:val="1"/>
        </w:numPr>
        <w:spacing w:after="0"/>
        <w:jc w:val="both"/>
      </w:pPr>
      <w:r>
        <w:t>Ejercicio Fiscal: 201</w:t>
      </w:r>
      <w:r w:rsidR="00B20E90">
        <w:t>6</w:t>
      </w:r>
    </w:p>
    <w:p w:rsidR="00EB2950" w:rsidRDefault="00EB2950" w:rsidP="00EB2950">
      <w:pPr>
        <w:pStyle w:val="Prrafodelista"/>
        <w:numPr>
          <w:ilvl w:val="0"/>
          <w:numId w:val="1"/>
        </w:numPr>
        <w:spacing w:after="0"/>
        <w:jc w:val="both"/>
      </w:pPr>
      <w:r>
        <w:t>Régimen Jurídico: Asociación Civil sin fines de lucro, inscrita al Clave Única  Registro Federal de las Organizaciones Civiles (CLUNI) con autorización para recibir Donativos deducibles de impuesto sobre la renta</w:t>
      </w:r>
      <w:r w:rsidR="00495C4A">
        <w:t xml:space="preserve">, en ambos casos </w:t>
      </w:r>
      <w:r w:rsidR="00E31E81">
        <w:t>está</w:t>
      </w:r>
      <w:r w:rsidR="00495C4A">
        <w:t xml:space="preserve"> vigente su registro y </w:t>
      </w:r>
      <w:r w:rsidR="00E31E81">
        <w:t>autorización</w:t>
      </w:r>
      <w:r>
        <w:t>.</w:t>
      </w:r>
    </w:p>
    <w:p w:rsidR="00EB2950" w:rsidRDefault="00EB2950" w:rsidP="00EB2950">
      <w:pPr>
        <w:pStyle w:val="Prrafodelista"/>
        <w:numPr>
          <w:ilvl w:val="0"/>
          <w:numId w:val="1"/>
        </w:numPr>
        <w:spacing w:after="0"/>
        <w:jc w:val="both"/>
      </w:pPr>
      <w:r>
        <w:t>Consideraciones Fiscales del Ente: tipo de contribuciones IMSS, INFONAVIT y AFORE que está obligado a pagar y retenedora de IVA e ISR.</w:t>
      </w:r>
    </w:p>
    <w:p w:rsidR="008171E2" w:rsidRDefault="008171E2" w:rsidP="00692CB7">
      <w:pPr>
        <w:pStyle w:val="Prrafodelista"/>
        <w:numPr>
          <w:ilvl w:val="0"/>
          <w:numId w:val="1"/>
        </w:numPr>
        <w:spacing w:after="0"/>
        <w:jc w:val="both"/>
      </w:pPr>
      <w:r>
        <w:t>E</w:t>
      </w:r>
      <w:r w:rsidR="00930FC6">
        <w:t xml:space="preserve">structura organizacional básica: </w:t>
      </w:r>
      <w:r w:rsidR="009E59DD">
        <w:t>Está Constituida por Asociados, Administrada por el Consejo Directivo,  Coordinador General y Dirección General de la Fundación.</w:t>
      </w:r>
    </w:p>
    <w:p w:rsidR="006F2558" w:rsidRDefault="006F2558" w:rsidP="00692CB7">
      <w:pPr>
        <w:pStyle w:val="Prrafodelista"/>
        <w:spacing w:after="0"/>
        <w:jc w:val="both"/>
      </w:pPr>
    </w:p>
    <w:p w:rsidR="006F2558" w:rsidRDefault="006F2558" w:rsidP="00692CB7">
      <w:pPr>
        <w:spacing w:after="0"/>
        <w:jc w:val="both"/>
        <w:rPr>
          <w:b/>
        </w:rPr>
      </w:pPr>
      <w:r>
        <w:rPr>
          <w:b/>
        </w:rPr>
        <w:t>5</w:t>
      </w:r>
      <w:r w:rsidRPr="008171E2">
        <w:rPr>
          <w:b/>
        </w:rPr>
        <w:t xml:space="preserve">.- </w:t>
      </w:r>
      <w:r>
        <w:rPr>
          <w:b/>
        </w:rPr>
        <w:t>Bases de Preparación de los Estados Financieros</w:t>
      </w:r>
    </w:p>
    <w:p w:rsidR="008B7C30" w:rsidRDefault="008B7C30" w:rsidP="00692CB7">
      <w:pPr>
        <w:spacing w:after="0"/>
        <w:jc w:val="both"/>
      </w:pPr>
      <w:r>
        <w:t>Se informará sobre:</w:t>
      </w:r>
    </w:p>
    <w:p w:rsidR="008B7C30" w:rsidRDefault="00495C4A" w:rsidP="008B7C30">
      <w:pPr>
        <w:pStyle w:val="Prrafodelista"/>
        <w:numPr>
          <w:ilvl w:val="0"/>
          <w:numId w:val="6"/>
        </w:numPr>
        <w:spacing w:after="0"/>
        <w:jc w:val="both"/>
      </w:pPr>
      <w:r>
        <w:t xml:space="preserve">La entidad presenta su estado financiero adecuando sus cuentas en un cambio drástico de como </w:t>
      </w:r>
      <w:r w:rsidR="00E31E81">
        <w:t>venía</w:t>
      </w:r>
      <w:r>
        <w:t xml:space="preserve"> presentando su estado financiero, motivo por el cual </w:t>
      </w:r>
      <w:r w:rsidR="00A67117">
        <w:t xml:space="preserve">se está </w:t>
      </w:r>
      <w:r w:rsidR="00A73258">
        <w:t xml:space="preserve">realizando la adecuaciones necesarias para cumplir </w:t>
      </w:r>
      <w:r>
        <w:t xml:space="preserve"> de conformidad a lo emitido por la CONAC </w:t>
      </w:r>
      <w:r w:rsidR="008B7C30">
        <w:t>observa</w:t>
      </w:r>
      <w:r>
        <w:t>n</w:t>
      </w:r>
      <w:r w:rsidR="008B7C30">
        <w:t>do la normatividad emitida  y las disposiciones legales aplicables.</w:t>
      </w:r>
    </w:p>
    <w:p w:rsidR="006F2558" w:rsidRDefault="008F4665" w:rsidP="00692CB7">
      <w:pPr>
        <w:spacing w:after="0"/>
        <w:jc w:val="both"/>
      </w:pPr>
      <w:r>
        <w:lastRenderedPageBreak/>
        <w:t xml:space="preserve">La Asociación </w:t>
      </w:r>
      <w:r w:rsidR="00A73258">
        <w:t xml:space="preserve">presenta su Estado Financiero </w:t>
      </w:r>
      <w:r w:rsidR="00FA3516">
        <w:t>a</w:t>
      </w:r>
      <w:r w:rsidR="00A73258">
        <w:t xml:space="preserve"> </w:t>
      </w:r>
      <w:r>
        <w:t>pesos de poder adquisitivo de la fecha de cierre, aplicando Boletín NIF  B-10 y sus documentos de adecuaciones, que trata sobre los efectos de la Inflación, usando en la actualización el método de índice general de precios en el período 2005, 2007 y desde 2008 puntualizando la NIF del B-10 los Estados Financieros se encuentran a pesos de poder adquisitivo en cuando a la inflación no sea superior a un 20% tal como lo indican las disposiciones de las Normas de Información Financiera.</w:t>
      </w:r>
    </w:p>
    <w:p w:rsidR="008F4665" w:rsidRDefault="00B9021B" w:rsidP="00692CB7">
      <w:pPr>
        <w:spacing w:after="0"/>
        <w:jc w:val="both"/>
      </w:pPr>
      <w:r>
        <w:t xml:space="preserve">Los Ingresos  por Donativos se registran en la Contabilidad conforme son </w:t>
      </w:r>
      <w:r w:rsidR="00862428">
        <w:t xml:space="preserve">expedidos los recibos  y hasta el cobro son </w:t>
      </w:r>
      <w:r>
        <w:t xml:space="preserve">depositados en las cuentas bancarias o se reciben los bienes o servicios mismos que fueron </w:t>
      </w:r>
      <w:proofErr w:type="spellStart"/>
      <w:r>
        <w:t>reexpresados</w:t>
      </w:r>
      <w:proofErr w:type="spellEnd"/>
      <w:r>
        <w:t xml:space="preserve"> a la fecha de cierre.</w:t>
      </w:r>
    </w:p>
    <w:p w:rsidR="00B9021B" w:rsidRDefault="00B9021B" w:rsidP="00692CB7">
      <w:pPr>
        <w:spacing w:after="0"/>
        <w:jc w:val="both"/>
      </w:pPr>
      <w:r>
        <w:t>Los egresos se registran conforme se efectúen las erogaciones.</w:t>
      </w:r>
    </w:p>
    <w:p w:rsidR="005E5E28" w:rsidRDefault="005076D3" w:rsidP="00692CB7">
      <w:pPr>
        <w:spacing w:after="0"/>
        <w:jc w:val="both"/>
      </w:pPr>
      <w:r>
        <w:t xml:space="preserve">El Patrimonio </w:t>
      </w:r>
      <w:r w:rsidR="00E31E81">
        <w:t>está</w:t>
      </w:r>
      <w:r>
        <w:t xml:space="preserve"> integrado por bienes muebles que son adquiridos en forma directa, por donación o legado para el cumplimiento de sus fines; es patrimonio restringido permanentemente, los activos se destinan exclusivamente a los fines propios del Objeto Social, no pudiendo otorgar beneficios sobre el remanente a persona física alguna o a sus integrantes personas físicas y morales</w:t>
      </w:r>
    </w:p>
    <w:p w:rsidR="00B9021B" w:rsidRDefault="00B9021B" w:rsidP="00692CB7">
      <w:pPr>
        <w:spacing w:after="0"/>
        <w:jc w:val="both"/>
        <w:rPr>
          <w:b/>
        </w:rPr>
      </w:pPr>
    </w:p>
    <w:p w:rsidR="00035CCC" w:rsidRDefault="006F2558" w:rsidP="00692CB7">
      <w:pPr>
        <w:spacing w:after="0"/>
        <w:jc w:val="both"/>
        <w:rPr>
          <w:b/>
        </w:rPr>
      </w:pPr>
      <w:r w:rsidRPr="006F2558">
        <w:rPr>
          <w:b/>
        </w:rPr>
        <w:t>6.- POLITICAS DE CONTABILIDAD SIGNIFICATIVAS:</w:t>
      </w:r>
    </w:p>
    <w:p w:rsidR="00035CCC" w:rsidRDefault="00035CCC" w:rsidP="00692CB7">
      <w:pPr>
        <w:spacing w:after="0"/>
        <w:jc w:val="both"/>
      </w:pPr>
      <w:r>
        <w:t xml:space="preserve">a) </w:t>
      </w:r>
      <w:r w:rsidR="00854B3A">
        <w:t xml:space="preserve">La institución </w:t>
      </w:r>
      <w:r w:rsidR="00E31E81">
        <w:t>venía</w:t>
      </w:r>
      <w:r w:rsidR="00854B3A">
        <w:t xml:space="preserve"> aplicando B-10  de actualizaciones motivo por el cual dentro de su patrimonio presenta las siguientes cuentas</w:t>
      </w:r>
      <w:r w:rsidR="00A0568A">
        <w:t xml:space="preserve"> Exceso o Insuficiencia en el Capital y </w:t>
      </w:r>
      <w:r w:rsidR="00E31E81">
        <w:t>Actualización</w:t>
      </w:r>
      <w:r w:rsidR="00A0568A">
        <w:t xml:space="preserve"> de Capital.</w:t>
      </w:r>
    </w:p>
    <w:p w:rsidR="00F47CB7" w:rsidRDefault="00F47CB7" w:rsidP="00692CB7">
      <w:pPr>
        <w:spacing w:after="0"/>
        <w:jc w:val="both"/>
        <w:rPr>
          <w:b/>
        </w:rPr>
      </w:pPr>
    </w:p>
    <w:p w:rsidR="00F23879" w:rsidRDefault="00E55F06" w:rsidP="00692CB7">
      <w:pPr>
        <w:spacing w:after="0"/>
        <w:jc w:val="both"/>
        <w:rPr>
          <w:b/>
        </w:rPr>
      </w:pPr>
      <w:r>
        <w:rPr>
          <w:b/>
        </w:rPr>
        <w:t>7</w:t>
      </w:r>
      <w:r w:rsidR="00F23879" w:rsidRPr="006F2558">
        <w:rPr>
          <w:b/>
        </w:rPr>
        <w:t xml:space="preserve">.- </w:t>
      </w:r>
      <w:r w:rsidR="00F23879">
        <w:rPr>
          <w:b/>
        </w:rPr>
        <w:t>R</w:t>
      </w:r>
      <w:r w:rsidR="00B9021B">
        <w:rPr>
          <w:b/>
        </w:rPr>
        <w:t>E</w:t>
      </w:r>
      <w:r w:rsidR="00F23879">
        <w:rPr>
          <w:b/>
        </w:rPr>
        <w:t>PORTE ANALITICO DEL ACTIVO</w:t>
      </w:r>
    </w:p>
    <w:tbl>
      <w:tblPr>
        <w:tblW w:w="7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1726"/>
        <w:gridCol w:w="1738"/>
        <w:gridCol w:w="1254"/>
        <w:gridCol w:w="1308"/>
      </w:tblGrid>
      <w:tr w:rsidR="002A7450" w:rsidRPr="00E31E81" w:rsidTr="000861B1">
        <w:trPr>
          <w:trHeight w:val="810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1E81" w:rsidRPr="00143DD0" w:rsidRDefault="00E31E81" w:rsidP="00E31E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CONCEPTO: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E31E81" w:rsidRPr="00143DD0" w:rsidRDefault="00E31E81" w:rsidP="00E3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Inversión</w:t>
            </w:r>
          </w:p>
        </w:tc>
        <w:tc>
          <w:tcPr>
            <w:tcW w:w="17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E31E81" w:rsidRPr="00143DD0" w:rsidRDefault="00E31E81" w:rsidP="00E3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Depreciación Acumulada</w:t>
            </w:r>
          </w:p>
        </w:tc>
        <w:tc>
          <w:tcPr>
            <w:tcW w:w="12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E31E81" w:rsidRPr="00143DD0" w:rsidRDefault="00E31E81" w:rsidP="00E3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DD0">
              <w:rPr>
                <w:rFonts w:ascii="Calibri" w:eastAsia="Times New Roman" w:hAnsi="Calibri" w:cs="Calibri"/>
                <w:color w:val="000000"/>
              </w:rPr>
              <w:t>NETO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E31E81" w:rsidRPr="00E31E81" w:rsidRDefault="00E31E81" w:rsidP="00E3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3D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Método de Depreciación</w:t>
            </w:r>
          </w:p>
        </w:tc>
      </w:tr>
      <w:tr w:rsidR="002A7450" w:rsidRPr="00E31E81" w:rsidTr="000861B1">
        <w:trPr>
          <w:trHeight w:val="2340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1B1" w:rsidRPr="00E31E81" w:rsidRDefault="000861B1" w:rsidP="00E31E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31E81">
              <w:rPr>
                <w:rFonts w:ascii="Calibri" w:eastAsia="Times New Roman" w:hAnsi="Calibri" w:cs="Calibri"/>
                <w:color w:val="000000"/>
              </w:rPr>
              <w:t>MOBILIARIO Y EQUIPO DE ADMINISTRACIÓN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61B1" w:rsidRPr="00A67967" w:rsidRDefault="000861B1" w:rsidP="002A7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67967">
              <w:rPr>
                <w:rFonts w:ascii="Calibri" w:eastAsia="Times New Roman" w:hAnsi="Calibri" w:cs="Calibri"/>
                <w:color w:val="000000"/>
              </w:rPr>
              <w:t xml:space="preserve">$ </w:t>
            </w:r>
            <w:r w:rsidR="00EA0667">
              <w:rPr>
                <w:rFonts w:ascii="Calibri" w:eastAsia="Times New Roman" w:hAnsi="Calibri" w:cs="Calibri"/>
                <w:color w:val="000000"/>
              </w:rPr>
              <w:t>90</w:t>
            </w:r>
            <w:r w:rsidR="002A7450">
              <w:rPr>
                <w:rFonts w:ascii="Calibri" w:eastAsia="Times New Roman" w:hAnsi="Calibri" w:cs="Calibri"/>
                <w:color w:val="000000"/>
              </w:rPr>
              <w:t>4</w:t>
            </w:r>
            <w:r w:rsidR="00EA0667">
              <w:rPr>
                <w:rFonts w:ascii="Calibri" w:eastAsia="Times New Roman" w:hAnsi="Calibri" w:cs="Calibri"/>
                <w:color w:val="000000"/>
              </w:rPr>
              <w:t>,</w:t>
            </w:r>
            <w:r w:rsidR="002A7450">
              <w:rPr>
                <w:rFonts w:ascii="Calibri" w:eastAsia="Times New Roman" w:hAnsi="Calibri" w:cs="Calibri"/>
                <w:color w:val="000000"/>
              </w:rPr>
              <w:t>771.22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1B1" w:rsidRPr="00D6253B" w:rsidRDefault="000861B1" w:rsidP="002A7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 xml:space="preserve">          </w:t>
            </w:r>
            <w:r w:rsidR="00862428"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="00EA0667" w:rsidRPr="00D6253B">
              <w:rPr>
                <w:rFonts w:ascii="Calibri" w:eastAsia="Times New Roman" w:hAnsi="Calibri" w:cs="Calibri"/>
                <w:color w:val="000000"/>
              </w:rPr>
              <w:t xml:space="preserve">          $</w:t>
            </w:r>
            <w:r w:rsidR="00EA0667">
              <w:rPr>
                <w:rFonts w:ascii="Calibri" w:eastAsia="Times New Roman" w:hAnsi="Calibri" w:cs="Calibri"/>
                <w:color w:val="000000"/>
              </w:rPr>
              <w:t>5</w:t>
            </w:r>
            <w:r w:rsidR="002A7450">
              <w:rPr>
                <w:rFonts w:ascii="Calibri" w:eastAsia="Times New Roman" w:hAnsi="Calibri" w:cs="Calibri"/>
                <w:color w:val="000000"/>
              </w:rPr>
              <w:t>84</w:t>
            </w:r>
            <w:r w:rsidR="00EA0667">
              <w:rPr>
                <w:rFonts w:ascii="Calibri" w:eastAsia="Times New Roman" w:hAnsi="Calibri" w:cs="Calibri"/>
                <w:color w:val="000000"/>
              </w:rPr>
              <w:t>,</w:t>
            </w:r>
            <w:r w:rsidR="002A7450">
              <w:rPr>
                <w:rFonts w:ascii="Calibri" w:eastAsia="Times New Roman" w:hAnsi="Calibri" w:cs="Calibri"/>
                <w:color w:val="000000"/>
              </w:rPr>
              <w:t>209.43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B1" w:rsidRPr="00A67967" w:rsidRDefault="000861B1" w:rsidP="002A7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7967">
              <w:rPr>
                <w:rFonts w:ascii="Calibri" w:eastAsia="Times New Roman" w:hAnsi="Calibri" w:cs="Calibri"/>
                <w:color w:val="000000"/>
              </w:rPr>
              <w:t xml:space="preserve">       $</w:t>
            </w:r>
            <w:r w:rsidR="00FA5F4F">
              <w:rPr>
                <w:rFonts w:ascii="Calibri" w:eastAsia="Times New Roman" w:hAnsi="Calibri" w:cs="Calibri"/>
                <w:color w:val="000000"/>
              </w:rPr>
              <w:t>3</w:t>
            </w:r>
            <w:r w:rsidR="00B776E3">
              <w:rPr>
                <w:rFonts w:ascii="Calibri" w:eastAsia="Times New Roman" w:hAnsi="Calibri" w:cs="Calibri"/>
                <w:color w:val="000000"/>
              </w:rPr>
              <w:t>2</w:t>
            </w:r>
            <w:r w:rsidR="002A7450">
              <w:rPr>
                <w:rFonts w:ascii="Calibri" w:eastAsia="Times New Roman" w:hAnsi="Calibri" w:cs="Calibri"/>
                <w:color w:val="000000"/>
              </w:rPr>
              <w:t>0</w:t>
            </w:r>
            <w:r w:rsidR="00FA5F4F">
              <w:rPr>
                <w:rFonts w:ascii="Calibri" w:eastAsia="Times New Roman" w:hAnsi="Calibri" w:cs="Calibri"/>
                <w:color w:val="000000"/>
              </w:rPr>
              <w:t>,</w:t>
            </w:r>
            <w:r w:rsidR="002A7450">
              <w:rPr>
                <w:rFonts w:ascii="Calibri" w:eastAsia="Times New Roman" w:hAnsi="Calibri" w:cs="Calibri"/>
                <w:color w:val="000000"/>
              </w:rPr>
              <w:t>561.79</w:t>
            </w:r>
          </w:p>
        </w:tc>
        <w:tc>
          <w:tcPr>
            <w:tcW w:w="1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861B1" w:rsidRPr="00E31E81" w:rsidRDefault="000861B1" w:rsidP="00E31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E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 de Oficina línea recta con tasa de 10% Equipo Computo Línea recta con tasa 30%</w:t>
            </w:r>
          </w:p>
        </w:tc>
      </w:tr>
      <w:tr w:rsidR="002A7450" w:rsidRPr="00E31E81" w:rsidTr="000861B1">
        <w:trPr>
          <w:trHeight w:val="930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1B1" w:rsidRPr="00E31E81" w:rsidRDefault="000861B1" w:rsidP="00E31E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31E81">
              <w:rPr>
                <w:rFonts w:ascii="Calibri" w:eastAsia="Times New Roman" w:hAnsi="Calibri" w:cs="Calibri"/>
                <w:color w:val="000000"/>
              </w:rPr>
              <w:t>MOBILIARIO Y EQUIPO EDUCACIONAL Y RECREATIVO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61B1" w:rsidRPr="00A67967" w:rsidRDefault="000861B1" w:rsidP="00B77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67967">
              <w:rPr>
                <w:rFonts w:ascii="Calibri" w:eastAsia="Times New Roman" w:hAnsi="Calibri" w:cs="Calibri"/>
                <w:color w:val="000000"/>
              </w:rPr>
              <w:t xml:space="preserve">                          $</w:t>
            </w:r>
            <w:r w:rsidR="00B776E3">
              <w:rPr>
                <w:rFonts w:ascii="Calibri" w:eastAsia="Times New Roman" w:hAnsi="Calibri" w:cs="Calibri"/>
                <w:color w:val="000000"/>
              </w:rPr>
              <w:t>355,204.19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1B1" w:rsidRPr="00D6253B" w:rsidRDefault="00EA0667" w:rsidP="002A7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B776E3">
              <w:rPr>
                <w:rFonts w:ascii="Calibri" w:eastAsia="Times New Roman" w:hAnsi="Calibri" w:cs="Calibri"/>
                <w:color w:val="000000"/>
              </w:rPr>
              <w:t>8</w:t>
            </w:r>
            <w:r w:rsidR="002A7450">
              <w:rPr>
                <w:rFonts w:ascii="Calibri" w:eastAsia="Times New Roman" w:hAnsi="Calibri" w:cs="Calibri"/>
                <w:color w:val="000000"/>
              </w:rPr>
              <w:t>3</w:t>
            </w:r>
            <w:r w:rsidR="00B776E3">
              <w:rPr>
                <w:rFonts w:ascii="Calibri" w:eastAsia="Times New Roman" w:hAnsi="Calibri" w:cs="Calibri"/>
                <w:color w:val="000000"/>
              </w:rPr>
              <w:t>,</w:t>
            </w:r>
            <w:r w:rsidR="002A7450">
              <w:rPr>
                <w:rFonts w:ascii="Calibri" w:eastAsia="Times New Roman" w:hAnsi="Calibri" w:cs="Calibri"/>
                <w:color w:val="000000"/>
              </w:rPr>
              <w:t>478.35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B1" w:rsidRPr="00A67967" w:rsidRDefault="000861B1" w:rsidP="002A7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7967">
              <w:rPr>
                <w:rFonts w:ascii="Calibri" w:eastAsia="Times New Roman" w:hAnsi="Calibri" w:cs="Calibri"/>
                <w:color w:val="000000"/>
              </w:rPr>
              <w:t xml:space="preserve">         $</w:t>
            </w:r>
            <w:r w:rsidR="00E84E42">
              <w:rPr>
                <w:rFonts w:ascii="Calibri" w:eastAsia="Times New Roman" w:hAnsi="Calibri" w:cs="Calibri"/>
                <w:color w:val="000000"/>
              </w:rPr>
              <w:t>2</w:t>
            </w:r>
            <w:r w:rsidR="00B776E3">
              <w:rPr>
                <w:rFonts w:ascii="Calibri" w:eastAsia="Times New Roman" w:hAnsi="Calibri" w:cs="Calibri"/>
                <w:color w:val="000000"/>
              </w:rPr>
              <w:t>7</w:t>
            </w:r>
            <w:r w:rsidR="002A7450">
              <w:rPr>
                <w:rFonts w:ascii="Calibri" w:eastAsia="Times New Roman" w:hAnsi="Calibri" w:cs="Calibri"/>
                <w:color w:val="000000"/>
              </w:rPr>
              <w:t>1</w:t>
            </w:r>
            <w:r w:rsidR="00EA0667">
              <w:rPr>
                <w:rFonts w:ascii="Calibri" w:eastAsia="Times New Roman" w:hAnsi="Calibri" w:cs="Calibri"/>
                <w:color w:val="000000"/>
              </w:rPr>
              <w:t>,</w:t>
            </w:r>
            <w:r w:rsidR="002A7450">
              <w:rPr>
                <w:rFonts w:ascii="Calibri" w:eastAsia="Times New Roman" w:hAnsi="Calibri" w:cs="Calibri"/>
                <w:color w:val="000000"/>
              </w:rPr>
              <w:t>725.84</w:t>
            </w:r>
          </w:p>
        </w:tc>
        <w:tc>
          <w:tcPr>
            <w:tcW w:w="1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861B1" w:rsidRPr="00E31E81" w:rsidRDefault="000861B1" w:rsidP="00E31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E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Línea recta con tasa del 10%</w:t>
            </w:r>
          </w:p>
        </w:tc>
      </w:tr>
      <w:tr w:rsidR="002A7450" w:rsidRPr="00E31E81" w:rsidTr="000861B1">
        <w:trPr>
          <w:trHeight w:val="930"/>
        </w:trPr>
        <w:tc>
          <w:tcPr>
            <w:tcW w:w="1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1B1" w:rsidRPr="00E31E81" w:rsidRDefault="000861B1" w:rsidP="00E31E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31E81">
              <w:rPr>
                <w:rFonts w:ascii="Calibri" w:eastAsia="Times New Roman" w:hAnsi="Calibri" w:cs="Calibri"/>
                <w:color w:val="000000"/>
              </w:rPr>
              <w:t>MAQUINARIA OTROS EQUIPOS Y HERRAMIENTAS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61B1" w:rsidRPr="00A67967" w:rsidRDefault="000861B1" w:rsidP="00B77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67967">
              <w:rPr>
                <w:rFonts w:ascii="Calibri" w:eastAsia="Times New Roman" w:hAnsi="Calibri" w:cs="Calibri"/>
                <w:color w:val="000000"/>
              </w:rPr>
              <w:t xml:space="preserve">                                 $ 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="00B776E3">
              <w:rPr>
                <w:rFonts w:ascii="Calibri" w:eastAsia="Times New Roman" w:hAnsi="Calibri" w:cs="Calibri"/>
                <w:color w:val="000000"/>
              </w:rPr>
              <w:t>40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="00B776E3">
              <w:rPr>
                <w:rFonts w:ascii="Calibri" w:eastAsia="Times New Roman" w:hAnsi="Calibri" w:cs="Calibri"/>
                <w:color w:val="000000"/>
              </w:rPr>
              <w:t>628.85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1B1" w:rsidRPr="00D6253B" w:rsidRDefault="00EA0667" w:rsidP="002A7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2A7450">
              <w:rPr>
                <w:rFonts w:ascii="Calibri" w:eastAsia="Times New Roman" w:hAnsi="Calibri" w:cs="Calibri"/>
                <w:color w:val="000000"/>
              </w:rPr>
              <w:t>375,466.51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B1" w:rsidRPr="00A67967" w:rsidRDefault="000861B1" w:rsidP="002A7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7967">
              <w:rPr>
                <w:rFonts w:ascii="Calibri" w:eastAsia="Times New Roman" w:hAnsi="Calibri" w:cs="Calibri"/>
                <w:color w:val="000000"/>
              </w:rPr>
              <w:t xml:space="preserve">    $</w:t>
            </w:r>
            <w:r w:rsidR="00B776E3">
              <w:rPr>
                <w:rFonts w:ascii="Calibri" w:eastAsia="Times New Roman" w:hAnsi="Calibri" w:cs="Calibri"/>
                <w:color w:val="000000"/>
              </w:rPr>
              <w:t>3</w:t>
            </w:r>
            <w:r w:rsidR="002A7450">
              <w:rPr>
                <w:rFonts w:ascii="Calibri" w:eastAsia="Times New Roman" w:hAnsi="Calibri" w:cs="Calibri"/>
                <w:color w:val="000000"/>
              </w:rPr>
              <w:t>65</w:t>
            </w:r>
            <w:r w:rsidR="00B776E3">
              <w:rPr>
                <w:rFonts w:ascii="Calibri" w:eastAsia="Times New Roman" w:hAnsi="Calibri" w:cs="Calibri"/>
                <w:color w:val="000000"/>
              </w:rPr>
              <w:t>,</w:t>
            </w:r>
            <w:r w:rsidR="002A7450">
              <w:rPr>
                <w:rFonts w:ascii="Calibri" w:eastAsia="Times New Roman" w:hAnsi="Calibri" w:cs="Calibri"/>
                <w:color w:val="000000"/>
              </w:rPr>
              <w:t>162.34</w:t>
            </w:r>
          </w:p>
        </w:tc>
        <w:tc>
          <w:tcPr>
            <w:tcW w:w="1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861B1" w:rsidRPr="00E31E81" w:rsidRDefault="000861B1" w:rsidP="00E31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E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Línea recta con tasa del 10%</w:t>
            </w:r>
          </w:p>
        </w:tc>
      </w:tr>
      <w:tr w:rsidR="002A7450" w:rsidRPr="00E31E81" w:rsidTr="000861B1">
        <w:trPr>
          <w:trHeight w:val="600"/>
        </w:trPr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861B1" w:rsidRPr="00E31E81" w:rsidRDefault="000861B1" w:rsidP="00E31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E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EQUIPO DE TRANSPORTE.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B1" w:rsidRPr="00A67967" w:rsidRDefault="000861B1" w:rsidP="008624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67967">
              <w:rPr>
                <w:rFonts w:ascii="Calibri" w:eastAsia="Times New Roman" w:hAnsi="Calibri" w:cs="Calibri"/>
                <w:color w:val="000000"/>
              </w:rPr>
              <w:t xml:space="preserve">                     $</w:t>
            </w:r>
            <w:r w:rsidR="00862428">
              <w:rPr>
                <w:rFonts w:ascii="Calibri" w:eastAsia="Times New Roman" w:hAnsi="Calibri" w:cs="Calibri"/>
                <w:color w:val="000000"/>
              </w:rPr>
              <w:t>1</w:t>
            </w:r>
            <w:r w:rsidRPr="00A67967">
              <w:rPr>
                <w:rFonts w:ascii="Calibri" w:eastAsia="Times New Roman" w:hAnsi="Calibri" w:cs="Calibri"/>
                <w:color w:val="000000"/>
              </w:rPr>
              <w:t>,037,575.39</w:t>
            </w:r>
          </w:p>
        </w:tc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1B1" w:rsidRPr="00D6253B" w:rsidRDefault="00EA0667" w:rsidP="002A7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53B">
              <w:rPr>
                <w:rFonts w:ascii="Calibri" w:eastAsia="Times New Roman" w:hAnsi="Calibri" w:cs="Calibri"/>
                <w:color w:val="000000"/>
              </w:rPr>
              <w:t>$</w:t>
            </w:r>
            <w:r w:rsidR="002A7450">
              <w:rPr>
                <w:rFonts w:ascii="Calibri" w:eastAsia="Times New Roman" w:hAnsi="Calibri" w:cs="Calibri"/>
                <w:color w:val="000000"/>
              </w:rPr>
              <w:t>904,125.59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B1" w:rsidRPr="00A67967" w:rsidRDefault="00862428" w:rsidP="002A7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$</w:t>
            </w:r>
            <w:r w:rsidR="00496093">
              <w:rPr>
                <w:rFonts w:ascii="Calibri" w:eastAsia="Times New Roman" w:hAnsi="Calibri" w:cs="Calibri"/>
                <w:color w:val="000000"/>
              </w:rPr>
              <w:t>1</w:t>
            </w:r>
            <w:r w:rsidR="00B776E3">
              <w:rPr>
                <w:rFonts w:ascii="Calibri" w:eastAsia="Times New Roman" w:hAnsi="Calibri" w:cs="Calibri"/>
                <w:color w:val="000000"/>
              </w:rPr>
              <w:t>3</w:t>
            </w:r>
            <w:r w:rsidR="002A7450">
              <w:rPr>
                <w:rFonts w:ascii="Calibri" w:eastAsia="Times New Roman" w:hAnsi="Calibri" w:cs="Calibri"/>
                <w:color w:val="000000"/>
              </w:rPr>
              <w:t>3</w:t>
            </w:r>
            <w:r w:rsidR="00B776E3">
              <w:rPr>
                <w:rFonts w:ascii="Calibri" w:eastAsia="Times New Roman" w:hAnsi="Calibri" w:cs="Calibri"/>
                <w:color w:val="000000"/>
              </w:rPr>
              <w:t>,</w:t>
            </w:r>
            <w:r w:rsidR="002A7450">
              <w:rPr>
                <w:rFonts w:ascii="Calibri" w:eastAsia="Times New Roman" w:hAnsi="Calibri" w:cs="Calibri"/>
                <w:color w:val="000000"/>
              </w:rPr>
              <w:t>449.80</w:t>
            </w:r>
          </w:p>
        </w:tc>
        <w:tc>
          <w:tcPr>
            <w:tcW w:w="1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861B1" w:rsidRPr="00E31E81" w:rsidRDefault="000861B1" w:rsidP="00E31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E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Línea recta con tasa del 25%</w:t>
            </w:r>
          </w:p>
        </w:tc>
      </w:tr>
    </w:tbl>
    <w:p w:rsidR="00D94F73" w:rsidRDefault="00D94F73" w:rsidP="002F3376">
      <w:pPr>
        <w:spacing w:after="0"/>
        <w:jc w:val="both"/>
      </w:pPr>
    </w:p>
    <w:p w:rsidR="00691C0D" w:rsidRDefault="00691C0D" w:rsidP="002F3376">
      <w:pPr>
        <w:spacing w:after="0"/>
        <w:jc w:val="both"/>
        <w:rPr>
          <w:b/>
        </w:rPr>
      </w:pPr>
    </w:p>
    <w:p w:rsidR="003B101A" w:rsidRDefault="00E55F06" w:rsidP="002F3376">
      <w:pPr>
        <w:spacing w:after="0"/>
        <w:jc w:val="both"/>
      </w:pPr>
      <w:r>
        <w:rPr>
          <w:b/>
        </w:rPr>
        <w:t>8</w:t>
      </w:r>
      <w:r w:rsidR="003B101A" w:rsidRPr="002B4048">
        <w:rPr>
          <w:b/>
        </w:rPr>
        <w:t>.- Reporte de la Recaudación</w:t>
      </w:r>
    </w:p>
    <w:p w:rsidR="003B101A" w:rsidRDefault="003B101A" w:rsidP="002F3376">
      <w:pPr>
        <w:spacing w:after="0"/>
        <w:jc w:val="both"/>
      </w:pPr>
    </w:p>
    <w:p w:rsidR="002A6447" w:rsidRDefault="00A73258" w:rsidP="002F3376">
      <w:pPr>
        <w:spacing w:after="0"/>
        <w:jc w:val="both"/>
      </w:pPr>
      <w:r>
        <w:t xml:space="preserve">La entidad este año recaudo de la sociedad civil la cantidad </w:t>
      </w:r>
      <w:r w:rsidRPr="00691C0D">
        <w:t>de</w:t>
      </w:r>
      <w:r w:rsidR="001F11D0" w:rsidRPr="00A67967">
        <w:t>$</w:t>
      </w:r>
      <w:r w:rsidR="001F11D0">
        <w:t xml:space="preserve"> 74,800.00 </w:t>
      </w:r>
      <w:r w:rsidRPr="00691C0D">
        <w:t xml:space="preserve"> </w:t>
      </w:r>
      <w:r w:rsidR="00477424">
        <w:t>representando alrededor de un</w:t>
      </w:r>
      <w:r w:rsidR="00DD4B35">
        <w:t xml:space="preserve"> </w:t>
      </w:r>
      <w:r w:rsidR="00EA0667">
        <w:t>2</w:t>
      </w:r>
      <w:r w:rsidR="007531F4">
        <w:t xml:space="preserve">% del ingreso y por ingresos propios generados por venta bienes y servicios fue la cantidad </w:t>
      </w:r>
      <w:r w:rsidR="007531F4" w:rsidRPr="00691C0D">
        <w:t>de</w:t>
      </w:r>
      <w:r w:rsidR="001F11D0">
        <w:t xml:space="preserve"> </w:t>
      </w:r>
      <w:bookmarkStart w:id="16" w:name="_GoBack"/>
      <w:bookmarkEnd w:id="16"/>
      <w:r w:rsidR="001F11D0" w:rsidRPr="00691C0D">
        <w:t>$</w:t>
      </w:r>
      <w:r w:rsidR="001F11D0">
        <w:t xml:space="preserve"> 72,959.73 </w:t>
      </w:r>
      <w:r w:rsidR="007531F4" w:rsidRPr="00691C0D">
        <w:t xml:space="preserve"> </w:t>
      </w:r>
      <w:r w:rsidR="00EA0667">
        <w:t>ambos importes representa un 4% global de los ingresos.</w:t>
      </w:r>
      <w:r w:rsidR="002A6447">
        <w:t>.</w:t>
      </w:r>
    </w:p>
    <w:p w:rsidR="00A73258" w:rsidRDefault="002A6447" w:rsidP="002F3376">
      <w:pPr>
        <w:spacing w:after="0"/>
        <w:jc w:val="both"/>
      </w:pPr>
      <w:r>
        <w:t xml:space="preserve"> </w:t>
      </w:r>
    </w:p>
    <w:p w:rsidR="003B101A" w:rsidRDefault="00E55F06" w:rsidP="002F3376">
      <w:pPr>
        <w:spacing w:after="0"/>
        <w:jc w:val="both"/>
        <w:rPr>
          <w:b/>
        </w:rPr>
      </w:pPr>
      <w:r>
        <w:rPr>
          <w:b/>
        </w:rPr>
        <w:t>9</w:t>
      </w:r>
      <w:r w:rsidR="003B101A">
        <w:rPr>
          <w:b/>
        </w:rPr>
        <w:t>.- Información Sobre la Deuda y el Reporte Analítico de la Deuda</w:t>
      </w:r>
    </w:p>
    <w:p w:rsidR="003B101A" w:rsidRPr="007531F4" w:rsidRDefault="007531F4" w:rsidP="002F3376">
      <w:pPr>
        <w:spacing w:after="0"/>
        <w:jc w:val="both"/>
      </w:pPr>
      <w:r w:rsidRPr="007531F4">
        <w:t>La entidad, su deuda no es de instrumentos gubernamentales ni de organismos financieros, es de compras a nuestros proveedores y de fácil liquidación.</w:t>
      </w:r>
    </w:p>
    <w:p w:rsidR="003B101A" w:rsidRDefault="003B101A" w:rsidP="003B101A">
      <w:pPr>
        <w:spacing w:after="0"/>
        <w:jc w:val="both"/>
      </w:pPr>
    </w:p>
    <w:p w:rsidR="003B101A" w:rsidRDefault="00E55F06" w:rsidP="003B101A">
      <w:pPr>
        <w:spacing w:after="0"/>
        <w:jc w:val="both"/>
        <w:rPr>
          <w:b/>
        </w:rPr>
      </w:pPr>
      <w:r>
        <w:rPr>
          <w:b/>
        </w:rPr>
        <w:t>10</w:t>
      </w:r>
      <w:r w:rsidR="003B101A">
        <w:rPr>
          <w:b/>
        </w:rPr>
        <w:t>.- Calificaciones Otorgadas</w:t>
      </w:r>
    </w:p>
    <w:p w:rsidR="00D0146F" w:rsidRDefault="007531F4">
      <w:pPr>
        <w:spacing w:after="0"/>
        <w:jc w:val="both"/>
      </w:pPr>
      <w:r>
        <w:t>La entidad por ser una asociación civil, no es sujeta de créditos financieros</w:t>
      </w:r>
      <w:r w:rsidR="00C80306">
        <w:t xml:space="preserve"> por lo tanto no recibe calificaciones por su deuda</w:t>
      </w:r>
      <w:r>
        <w:t>.</w:t>
      </w:r>
    </w:p>
    <w:sectPr w:rsidR="00D0146F" w:rsidSect="00F47CB7">
      <w:headerReference w:type="defaul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4EE" w:rsidRDefault="008824EE" w:rsidP="00744D2D">
      <w:pPr>
        <w:spacing w:after="0" w:line="240" w:lineRule="auto"/>
      </w:pPr>
      <w:r>
        <w:separator/>
      </w:r>
    </w:p>
  </w:endnote>
  <w:endnote w:type="continuationSeparator" w:id="0">
    <w:p w:rsidR="008824EE" w:rsidRDefault="008824EE" w:rsidP="0074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4EE" w:rsidRDefault="008824EE" w:rsidP="00744D2D">
      <w:pPr>
        <w:spacing w:after="0" w:line="240" w:lineRule="auto"/>
      </w:pPr>
      <w:r>
        <w:separator/>
      </w:r>
    </w:p>
  </w:footnote>
  <w:footnote w:type="continuationSeparator" w:id="0">
    <w:p w:rsidR="008824EE" w:rsidRDefault="008824EE" w:rsidP="00744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50" w:rsidRDefault="002A7450" w:rsidP="00EB2950">
    <w:pPr>
      <w:pStyle w:val="Encabezado"/>
      <w:jc w:val="center"/>
    </w:pPr>
    <w:r>
      <w:t>FUNDACION CULTURAL MACAY, A. C.</w:t>
    </w:r>
  </w:p>
  <w:p w:rsidR="002A7450" w:rsidRDefault="002A7450" w:rsidP="00EB2950">
    <w:pPr>
      <w:pStyle w:val="Encabezado"/>
      <w:jc w:val="center"/>
    </w:pPr>
    <w:r>
      <w:t>Notas al Estado Contable</w:t>
    </w:r>
  </w:p>
  <w:p w:rsidR="002A7450" w:rsidRDefault="002A7450" w:rsidP="00D469C7">
    <w:pPr>
      <w:pStyle w:val="Encabezado"/>
      <w:jc w:val="center"/>
    </w:pPr>
    <w:r>
      <w:t>Del 01 de Enero al 31  de Marzo de  2016</w:t>
    </w:r>
  </w:p>
  <w:p w:rsidR="002A7450" w:rsidRDefault="002A7450" w:rsidP="000463C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0C9"/>
    <w:multiLevelType w:val="hybridMultilevel"/>
    <w:tmpl w:val="3ECA3C3E"/>
    <w:lvl w:ilvl="0" w:tplc="437087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B6210"/>
    <w:multiLevelType w:val="hybridMultilevel"/>
    <w:tmpl w:val="B9C2EB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77B89"/>
    <w:multiLevelType w:val="hybridMultilevel"/>
    <w:tmpl w:val="6568AF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1210"/>
    <w:multiLevelType w:val="hybridMultilevel"/>
    <w:tmpl w:val="000630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10FFD"/>
    <w:multiLevelType w:val="hybridMultilevel"/>
    <w:tmpl w:val="03FE81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A2886"/>
    <w:multiLevelType w:val="hybridMultilevel"/>
    <w:tmpl w:val="3D9859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65B7B"/>
    <w:multiLevelType w:val="hybridMultilevel"/>
    <w:tmpl w:val="90DE3B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75FA2"/>
    <w:multiLevelType w:val="hybridMultilevel"/>
    <w:tmpl w:val="CFA0C2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5318B"/>
    <w:multiLevelType w:val="hybridMultilevel"/>
    <w:tmpl w:val="31E0A8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948F4"/>
    <w:multiLevelType w:val="hybridMultilevel"/>
    <w:tmpl w:val="180009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73386"/>
    <w:multiLevelType w:val="hybridMultilevel"/>
    <w:tmpl w:val="CDF494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76A5C"/>
    <w:multiLevelType w:val="hybridMultilevel"/>
    <w:tmpl w:val="D01ECC9C"/>
    <w:lvl w:ilvl="0" w:tplc="85AC88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86039B"/>
    <w:multiLevelType w:val="hybridMultilevel"/>
    <w:tmpl w:val="A86499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A36FC"/>
    <w:multiLevelType w:val="hybridMultilevel"/>
    <w:tmpl w:val="436AA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0B7137"/>
    <w:multiLevelType w:val="hybridMultilevel"/>
    <w:tmpl w:val="DB1693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B2F07"/>
    <w:multiLevelType w:val="hybridMultilevel"/>
    <w:tmpl w:val="A0FEAE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B56E1"/>
    <w:multiLevelType w:val="hybridMultilevel"/>
    <w:tmpl w:val="34A4E3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201A4"/>
    <w:multiLevelType w:val="hybridMultilevel"/>
    <w:tmpl w:val="5F7CB6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FB5922"/>
    <w:multiLevelType w:val="hybridMultilevel"/>
    <w:tmpl w:val="68BA3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9"/>
  </w:num>
  <w:num w:numId="5">
    <w:abstractNumId w:val="4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6"/>
  </w:num>
  <w:num w:numId="11">
    <w:abstractNumId w:val="16"/>
  </w:num>
  <w:num w:numId="12">
    <w:abstractNumId w:val="1"/>
  </w:num>
  <w:num w:numId="13">
    <w:abstractNumId w:val="17"/>
  </w:num>
  <w:num w:numId="14">
    <w:abstractNumId w:val="12"/>
  </w:num>
  <w:num w:numId="15">
    <w:abstractNumId w:val="0"/>
  </w:num>
  <w:num w:numId="16">
    <w:abstractNumId w:val="8"/>
  </w:num>
  <w:num w:numId="17">
    <w:abstractNumId w:val="15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F0"/>
    <w:rsid w:val="0000648B"/>
    <w:rsid w:val="00010D87"/>
    <w:rsid w:val="00011F35"/>
    <w:rsid w:val="00013C79"/>
    <w:rsid w:val="000171DB"/>
    <w:rsid w:val="00035CCC"/>
    <w:rsid w:val="00035E24"/>
    <w:rsid w:val="00037765"/>
    <w:rsid w:val="00041D14"/>
    <w:rsid w:val="000439ED"/>
    <w:rsid w:val="000441AB"/>
    <w:rsid w:val="00044DF3"/>
    <w:rsid w:val="000450BF"/>
    <w:rsid w:val="000463C8"/>
    <w:rsid w:val="00052621"/>
    <w:rsid w:val="00054104"/>
    <w:rsid w:val="000561D9"/>
    <w:rsid w:val="00064554"/>
    <w:rsid w:val="00064698"/>
    <w:rsid w:val="00073FD2"/>
    <w:rsid w:val="000774FF"/>
    <w:rsid w:val="0008020D"/>
    <w:rsid w:val="000850C4"/>
    <w:rsid w:val="00085DE4"/>
    <w:rsid w:val="000861B1"/>
    <w:rsid w:val="00090C65"/>
    <w:rsid w:val="000A23A6"/>
    <w:rsid w:val="000A2511"/>
    <w:rsid w:val="000A2F9F"/>
    <w:rsid w:val="000A6442"/>
    <w:rsid w:val="000A73F1"/>
    <w:rsid w:val="000B6F29"/>
    <w:rsid w:val="000B7194"/>
    <w:rsid w:val="000B7930"/>
    <w:rsid w:val="000D03B2"/>
    <w:rsid w:val="000D3A3A"/>
    <w:rsid w:val="000D5727"/>
    <w:rsid w:val="000E2706"/>
    <w:rsid w:val="000E2F78"/>
    <w:rsid w:val="000F30F5"/>
    <w:rsid w:val="001002D1"/>
    <w:rsid w:val="00100B02"/>
    <w:rsid w:val="00100D0B"/>
    <w:rsid w:val="00103220"/>
    <w:rsid w:val="0010496F"/>
    <w:rsid w:val="00105EE7"/>
    <w:rsid w:val="001119CA"/>
    <w:rsid w:val="0011311B"/>
    <w:rsid w:val="001139E6"/>
    <w:rsid w:val="00117B82"/>
    <w:rsid w:val="00120481"/>
    <w:rsid w:val="00126293"/>
    <w:rsid w:val="001316E1"/>
    <w:rsid w:val="001327DC"/>
    <w:rsid w:val="00132FB0"/>
    <w:rsid w:val="00133D22"/>
    <w:rsid w:val="00134AE0"/>
    <w:rsid w:val="00134F3B"/>
    <w:rsid w:val="00136635"/>
    <w:rsid w:val="001416F9"/>
    <w:rsid w:val="00143DD0"/>
    <w:rsid w:val="00151FAB"/>
    <w:rsid w:val="00153D15"/>
    <w:rsid w:val="001553D8"/>
    <w:rsid w:val="00160471"/>
    <w:rsid w:val="00160C71"/>
    <w:rsid w:val="0016109F"/>
    <w:rsid w:val="0016495D"/>
    <w:rsid w:val="001740B9"/>
    <w:rsid w:val="001913A3"/>
    <w:rsid w:val="00195993"/>
    <w:rsid w:val="001A7557"/>
    <w:rsid w:val="001B5299"/>
    <w:rsid w:val="001B65F6"/>
    <w:rsid w:val="001C1D9F"/>
    <w:rsid w:val="001C4B32"/>
    <w:rsid w:val="001D1672"/>
    <w:rsid w:val="001D2F8C"/>
    <w:rsid w:val="001D3A37"/>
    <w:rsid w:val="001D44B5"/>
    <w:rsid w:val="001E1C71"/>
    <w:rsid w:val="001E5DFF"/>
    <w:rsid w:val="001F11D0"/>
    <w:rsid w:val="00213202"/>
    <w:rsid w:val="002166B8"/>
    <w:rsid w:val="00216778"/>
    <w:rsid w:val="00223103"/>
    <w:rsid w:val="00223708"/>
    <w:rsid w:val="0022461A"/>
    <w:rsid w:val="0022736D"/>
    <w:rsid w:val="0023125A"/>
    <w:rsid w:val="00232CC8"/>
    <w:rsid w:val="00240A32"/>
    <w:rsid w:val="00247AD6"/>
    <w:rsid w:val="0026154E"/>
    <w:rsid w:val="00262926"/>
    <w:rsid w:val="00262B4F"/>
    <w:rsid w:val="00266FB3"/>
    <w:rsid w:val="0027254D"/>
    <w:rsid w:val="00273465"/>
    <w:rsid w:val="002753B9"/>
    <w:rsid w:val="0027776B"/>
    <w:rsid w:val="002827F8"/>
    <w:rsid w:val="002943E7"/>
    <w:rsid w:val="00297B55"/>
    <w:rsid w:val="002A281A"/>
    <w:rsid w:val="002A6447"/>
    <w:rsid w:val="002A7450"/>
    <w:rsid w:val="002B0602"/>
    <w:rsid w:val="002B4048"/>
    <w:rsid w:val="002B4A8E"/>
    <w:rsid w:val="002B5484"/>
    <w:rsid w:val="002C0545"/>
    <w:rsid w:val="002C2352"/>
    <w:rsid w:val="002C299F"/>
    <w:rsid w:val="002C3406"/>
    <w:rsid w:val="002C4EBE"/>
    <w:rsid w:val="002C60E5"/>
    <w:rsid w:val="002C63D6"/>
    <w:rsid w:val="002D450F"/>
    <w:rsid w:val="002E4A1A"/>
    <w:rsid w:val="002E51BC"/>
    <w:rsid w:val="002E598C"/>
    <w:rsid w:val="002E7361"/>
    <w:rsid w:val="002F16C7"/>
    <w:rsid w:val="002F3376"/>
    <w:rsid w:val="00303CE0"/>
    <w:rsid w:val="00307E04"/>
    <w:rsid w:val="00313DCC"/>
    <w:rsid w:val="00316B20"/>
    <w:rsid w:val="00321411"/>
    <w:rsid w:val="003227A0"/>
    <w:rsid w:val="00324FFB"/>
    <w:rsid w:val="003317C9"/>
    <w:rsid w:val="003328F4"/>
    <w:rsid w:val="0033614D"/>
    <w:rsid w:val="00336E59"/>
    <w:rsid w:val="00340B13"/>
    <w:rsid w:val="003415CE"/>
    <w:rsid w:val="003464F5"/>
    <w:rsid w:val="00353AED"/>
    <w:rsid w:val="00354ECA"/>
    <w:rsid w:val="003609B3"/>
    <w:rsid w:val="003638AF"/>
    <w:rsid w:val="00363A42"/>
    <w:rsid w:val="00364C74"/>
    <w:rsid w:val="003676A8"/>
    <w:rsid w:val="003677B6"/>
    <w:rsid w:val="00374172"/>
    <w:rsid w:val="0038472B"/>
    <w:rsid w:val="00392AE1"/>
    <w:rsid w:val="003A1A30"/>
    <w:rsid w:val="003A59A2"/>
    <w:rsid w:val="003B0BAE"/>
    <w:rsid w:val="003B101A"/>
    <w:rsid w:val="003B43AC"/>
    <w:rsid w:val="003C2568"/>
    <w:rsid w:val="003C6EF6"/>
    <w:rsid w:val="003D0189"/>
    <w:rsid w:val="003D41D2"/>
    <w:rsid w:val="003D5CBB"/>
    <w:rsid w:val="003D6126"/>
    <w:rsid w:val="003D76FF"/>
    <w:rsid w:val="003E17EC"/>
    <w:rsid w:val="003E3F3C"/>
    <w:rsid w:val="003E4A03"/>
    <w:rsid w:val="003F25A1"/>
    <w:rsid w:val="00402C69"/>
    <w:rsid w:val="00410A8B"/>
    <w:rsid w:val="00413FB4"/>
    <w:rsid w:val="00425FFF"/>
    <w:rsid w:val="00430257"/>
    <w:rsid w:val="004320B9"/>
    <w:rsid w:val="004377BA"/>
    <w:rsid w:val="00437E3F"/>
    <w:rsid w:val="00441587"/>
    <w:rsid w:val="00441744"/>
    <w:rsid w:val="00444E15"/>
    <w:rsid w:val="0044733C"/>
    <w:rsid w:val="00456D02"/>
    <w:rsid w:val="0046051C"/>
    <w:rsid w:val="004626D0"/>
    <w:rsid w:val="00464B90"/>
    <w:rsid w:val="00466A2E"/>
    <w:rsid w:val="00466AE1"/>
    <w:rsid w:val="00473242"/>
    <w:rsid w:val="00473FD6"/>
    <w:rsid w:val="00475177"/>
    <w:rsid w:val="00477424"/>
    <w:rsid w:val="00481417"/>
    <w:rsid w:val="004866EF"/>
    <w:rsid w:val="00495C4A"/>
    <w:rsid w:val="00496093"/>
    <w:rsid w:val="004A0803"/>
    <w:rsid w:val="004A29B0"/>
    <w:rsid w:val="004A44F0"/>
    <w:rsid w:val="004A48E6"/>
    <w:rsid w:val="004B2AB6"/>
    <w:rsid w:val="004B38E8"/>
    <w:rsid w:val="004C7A88"/>
    <w:rsid w:val="004D2C88"/>
    <w:rsid w:val="004E027C"/>
    <w:rsid w:val="004E0F5D"/>
    <w:rsid w:val="004E2C64"/>
    <w:rsid w:val="004E4D79"/>
    <w:rsid w:val="004E5A26"/>
    <w:rsid w:val="004E6785"/>
    <w:rsid w:val="004F3F78"/>
    <w:rsid w:val="004F72BC"/>
    <w:rsid w:val="00501405"/>
    <w:rsid w:val="0050167F"/>
    <w:rsid w:val="00503106"/>
    <w:rsid w:val="00504177"/>
    <w:rsid w:val="00506249"/>
    <w:rsid w:val="005076D3"/>
    <w:rsid w:val="0051198F"/>
    <w:rsid w:val="00513495"/>
    <w:rsid w:val="00513A28"/>
    <w:rsid w:val="005257F3"/>
    <w:rsid w:val="00525E85"/>
    <w:rsid w:val="00526232"/>
    <w:rsid w:val="00527DAE"/>
    <w:rsid w:val="00530664"/>
    <w:rsid w:val="005428C0"/>
    <w:rsid w:val="00542960"/>
    <w:rsid w:val="00543202"/>
    <w:rsid w:val="00546C57"/>
    <w:rsid w:val="00547BD2"/>
    <w:rsid w:val="00547E12"/>
    <w:rsid w:val="00554018"/>
    <w:rsid w:val="0055589C"/>
    <w:rsid w:val="005762C6"/>
    <w:rsid w:val="00585070"/>
    <w:rsid w:val="00593AA6"/>
    <w:rsid w:val="00595488"/>
    <w:rsid w:val="0059664D"/>
    <w:rsid w:val="005A0626"/>
    <w:rsid w:val="005A3120"/>
    <w:rsid w:val="005A5457"/>
    <w:rsid w:val="005C49F4"/>
    <w:rsid w:val="005C525D"/>
    <w:rsid w:val="005C55CC"/>
    <w:rsid w:val="005E2E38"/>
    <w:rsid w:val="005E5E28"/>
    <w:rsid w:val="005E71FE"/>
    <w:rsid w:val="005F09FF"/>
    <w:rsid w:val="005F1759"/>
    <w:rsid w:val="005F1AC9"/>
    <w:rsid w:val="00600D2D"/>
    <w:rsid w:val="00600D65"/>
    <w:rsid w:val="00604DD4"/>
    <w:rsid w:val="00606029"/>
    <w:rsid w:val="00613639"/>
    <w:rsid w:val="00616D61"/>
    <w:rsid w:val="00617CAA"/>
    <w:rsid w:val="0062774E"/>
    <w:rsid w:val="00633598"/>
    <w:rsid w:val="006431EC"/>
    <w:rsid w:val="00651331"/>
    <w:rsid w:val="00654EC1"/>
    <w:rsid w:val="006569FA"/>
    <w:rsid w:val="00657DD3"/>
    <w:rsid w:val="0068188E"/>
    <w:rsid w:val="00682293"/>
    <w:rsid w:val="00685D20"/>
    <w:rsid w:val="006876E0"/>
    <w:rsid w:val="00691390"/>
    <w:rsid w:val="00691C0D"/>
    <w:rsid w:val="00692CB7"/>
    <w:rsid w:val="00695223"/>
    <w:rsid w:val="0069546E"/>
    <w:rsid w:val="006A2982"/>
    <w:rsid w:val="006A5791"/>
    <w:rsid w:val="006A7512"/>
    <w:rsid w:val="006B0E16"/>
    <w:rsid w:val="006B13D1"/>
    <w:rsid w:val="006B2F46"/>
    <w:rsid w:val="006B3096"/>
    <w:rsid w:val="006B6903"/>
    <w:rsid w:val="006C1CB0"/>
    <w:rsid w:val="006C1D49"/>
    <w:rsid w:val="006C3B35"/>
    <w:rsid w:val="006D7C88"/>
    <w:rsid w:val="006E324D"/>
    <w:rsid w:val="006E48E3"/>
    <w:rsid w:val="006E6CFC"/>
    <w:rsid w:val="006F2558"/>
    <w:rsid w:val="006F7C83"/>
    <w:rsid w:val="00702E1D"/>
    <w:rsid w:val="00706F03"/>
    <w:rsid w:val="007137F6"/>
    <w:rsid w:val="0071605A"/>
    <w:rsid w:val="00723295"/>
    <w:rsid w:val="00725840"/>
    <w:rsid w:val="00733265"/>
    <w:rsid w:val="00735FD1"/>
    <w:rsid w:val="0074074F"/>
    <w:rsid w:val="00744D2D"/>
    <w:rsid w:val="00745D0F"/>
    <w:rsid w:val="007531F4"/>
    <w:rsid w:val="00753B92"/>
    <w:rsid w:val="00764E77"/>
    <w:rsid w:val="0077696C"/>
    <w:rsid w:val="00781DB7"/>
    <w:rsid w:val="007861AA"/>
    <w:rsid w:val="0079200C"/>
    <w:rsid w:val="00792E96"/>
    <w:rsid w:val="00793B63"/>
    <w:rsid w:val="00795DB0"/>
    <w:rsid w:val="007A69A9"/>
    <w:rsid w:val="007B09A2"/>
    <w:rsid w:val="007B40F8"/>
    <w:rsid w:val="007B49ED"/>
    <w:rsid w:val="007B6E70"/>
    <w:rsid w:val="007C0005"/>
    <w:rsid w:val="007C114F"/>
    <w:rsid w:val="007D37F4"/>
    <w:rsid w:val="007D6C9C"/>
    <w:rsid w:val="007E4073"/>
    <w:rsid w:val="007F1CE1"/>
    <w:rsid w:val="007F3BFB"/>
    <w:rsid w:val="007F44DF"/>
    <w:rsid w:val="00803A88"/>
    <w:rsid w:val="00816051"/>
    <w:rsid w:val="008171E2"/>
    <w:rsid w:val="008172AA"/>
    <w:rsid w:val="0082173E"/>
    <w:rsid w:val="0082314D"/>
    <w:rsid w:val="00832512"/>
    <w:rsid w:val="00834BD0"/>
    <w:rsid w:val="00835D6F"/>
    <w:rsid w:val="00840881"/>
    <w:rsid w:val="00842AC2"/>
    <w:rsid w:val="00843FF4"/>
    <w:rsid w:val="00846445"/>
    <w:rsid w:val="008472EE"/>
    <w:rsid w:val="008542DE"/>
    <w:rsid w:val="00854B3A"/>
    <w:rsid w:val="00862428"/>
    <w:rsid w:val="00864A76"/>
    <w:rsid w:val="00866AA1"/>
    <w:rsid w:val="008748AE"/>
    <w:rsid w:val="008824EE"/>
    <w:rsid w:val="00884F1B"/>
    <w:rsid w:val="00885F54"/>
    <w:rsid w:val="0088663C"/>
    <w:rsid w:val="0088790C"/>
    <w:rsid w:val="00887BF4"/>
    <w:rsid w:val="00894355"/>
    <w:rsid w:val="008B5E70"/>
    <w:rsid w:val="008B7A75"/>
    <w:rsid w:val="008B7C30"/>
    <w:rsid w:val="008C4A08"/>
    <w:rsid w:val="008C66F2"/>
    <w:rsid w:val="008C7851"/>
    <w:rsid w:val="008D3E52"/>
    <w:rsid w:val="008D4DB8"/>
    <w:rsid w:val="008D59C7"/>
    <w:rsid w:val="008E00E6"/>
    <w:rsid w:val="008E079F"/>
    <w:rsid w:val="008E393B"/>
    <w:rsid w:val="008E3D47"/>
    <w:rsid w:val="008E63C9"/>
    <w:rsid w:val="008E69BB"/>
    <w:rsid w:val="008F4665"/>
    <w:rsid w:val="008F5256"/>
    <w:rsid w:val="00902586"/>
    <w:rsid w:val="009066ED"/>
    <w:rsid w:val="00906A8F"/>
    <w:rsid w:val="00907CB6"/>
    <w:rsid w:val="0091479F"/>
    <w:rsid w:val="00914CC0"/>
    <w:rsid w:val="00915185"/>
    <w:rsid w:val="00915C7D"/>
    <w:rsid w:val="0092218E"/>
    <w:rsid w:val="00925F95"/>
    <w:rsid w:val="009262F2"/>
    <w:rsid w:val="00926E4C"/>
    <w:rsid w:val="00930883"/>
    <w:rsid w:val="00930FC6"/>
    <w:rsid w:val="00945358"/>
    <w:rsid w:val="00953176"/>
    <w:rsid w:val="00955F2E"/>
    <w:rsid w:val="00957E38"/>
    <w:rsid w:val="00965158"/>
    <w:rsid w:val="00972B25"/>
    <w:rsid w:val="00973B01"/>
    <w:rsid w:val="00976F57"/>
    <w:rsid w:val="00981E63"/>
    <w:rsid w:val="009859A7"/>
    <w:rsid w:val="009870FC"/>
    <w:rsid w:val="00995028"/>
    <w:rsid w:val="0099582D"/>
    <w:rsid w:val="009B2CB3"/>
    <w:rsid w:val="009B4A35"/>
    <w:rsid w:val="009B7219"/>
    <w:rsid w:val="009B7841"/>
    <w:rsid w:val="009C13D8"/>
    <w:rsid w:val="009C791F"/>
    <w:rsid w:val="009D0D64"/>
    <w:rsid w:val="009D627D"/>
    <w:rsid w:val="009E4E71"/>
    <w:rsid w:val="009E59DD"/>
    <w:rsid w:val="009E6E45"/>
    <w:rsid w:val="009F46EE"/>
    <w:rsid w:val="009F6825"/>
    <w:rsid w:val="00A0568A"/>
    <w:rsid w:val="00A0603B"/>
    <w:rsid w:val="00A0643E"/>
    <w:rsid w:val="00A10152"/>
    <w:rsid w:val="00A13D1E"/>
    <w:rsid w:val="00A2242F"/>
    <w:rsid w:val="00A26264"/>
    <w:rsid w:val="00A36A83"/>
    <w:rsid w:val="00A40783"/>
    <w:rsid w:val="00A41DAA"/>
    <w:rsid w:val="00A45558"/>
    <w:rsid w:val="00A4629E"/>
    <w:rsid w:val="00A46DA2"/>
    <w:rsid w:val="00A50A11"/>
    <w:rsid w:val="00A572E2"/>
    <w:rsid w:val="00A577CF"/>
    <w:rsid w:val="00A5792D"/>
    <w:rsid w:val="00A61B05"/>
    <w:rsid w:val="00A6255C"/>
    <w:rsid w:val="00A642BF"/>
    <w:rsid w:val="00A645D7"/>
    <w:rsid w:val="00A64C34"/>
    <w:rsid w:val="00A6506B"/>
    <w:rsid w:val="00A6661D"/>
    <w:rsid w:val="00A67117"/>
    <w:rsid w:val="00A67967"/>
    <w:rsid w:val="00A73258"/>
    <w:rsid w:val="00A75D20"/>
    <w:rsid w:val="00A92A44"/>
    <w:rsid w:val="00A944E3"/>
    <w:rsid w:val="00AA03DC"/>
    <w:rsid w:val="00AA4016"/>
    <w:rsid w:val="00AB5CB1"/>
    <w:rsid w:val="00AB69FC"/>
    <w:rsid w:val="00AC0767"/>
    <w:rsid w:val="00AC1E36"/>
    <w:rsid w:val="00AC4C5A"/>
    <w:rsid w:val="00AC6557"/>
    <w:rsid w:val="00AD062E"/>
    <w:rsid w:val="00AD1480"/>
    <w:rsid w:val="00AD63B9"/>
    <w:rsid w:val="00AE197A"/>
    <w:rsid w:val="00AE25DE"/>
    <w:rsid w:val="00AE3CBB"/>
    <w:rsid w:val="00AE3FA6"/>
    <w:rsid w:val="00AE7394"/>
    <w:rsid w:val="00AF1C5B"/>
    <w:rsid w:val="00AF43F7"/>
    <w:rsid w:val="00B005B8"/>
    <w:rsid w:val="00B05E1F"/>
    <w:rsid w:val="00B06029"/>
    <w:rsid w:val="00B149BC"/>
    <w:rsid w:val="00B20E90"/>
    <w:rsid w:val="00B20F03"/>
    <w:rsid w:val="00B21FB1"/>
    <w:rsid w:val="00B3064E"/>
    <w:rsid w:val="00B337CE"/>
    <w:rsid w:val="00B36848"/>
    <w:rsid w:val="00B3699D"/>
    <w:rsid w:val="00B41D13"/>
    <w:rsid w:val="00B42A75"/>
    <w:rsid w:val="00B430EA"/>
    <w:rsid w:val="00B4784B"/>
    <w:rsid w:val="00B47D9A"/>
    <w:rsid w:val="00B5103A"/>
    <w:rsid w:val="00B54877"/>
    <w:rsid w:val="00B6300D"/>
    <w:rsid w:val="00B640E4"/>
    <w:rsid w:val="00B71917"/>
    <w:rsid w:val="00B746F1"/>
    <w:rsid w:val="00B7571C"/>
    <w:rsid w:val="00B76A81"/>
    <w:rsid w:val="00B776E3"/>
    <w:rsid w:val="00B77D25"/>
    <w:rsid w:val="00B807A3"/>
    <w:rsid w:val="00B816F6"/>
    <w:rsid w:val="00B81FFD"/>
    <w:rsid w:val="00B90055"/>
    <w:rsid w:val="00B9021B"/>
    <w:rsid w:val="00B90FCF"/>
    <w:rsid w:val="00B97E4E"/>
    <w:rsid w:val="00BA0ED7"/>
    <w:rsid w:val="00BA215D"/>
    <w:rsid w:val="00BA41A5"/>
    <w:rsid w:val="00BA52D5"/>
    <w:rsid w:val="00BA5FBC"/>
    <w:rsid w:val="00BB3EAF"/>
    <w:rsid w:val="00BB42A9"/>
    <w:rsid w:val="00BC04CC"/>
    <w:rsid w:val="00BC64AD"/>
    <w:rsid w:val="00BC690A"/>
    <w:rsid w:val="00BD4A9E"/>
    <w:rsid w:val="00BD6DC4"/>
    <w:rsid w:val="00BE132C"/>
    <w:rsid w:val="00BE258E"/>
    <w:rsid w:val="00BE3F2C"/>
    <w:rsid w:val="00BF1B17"/>
    <w:rsid w:val="00BF50EB"/>
    <w:rsid w:val="00BF5CFE"/>
    <w:rsid w:val="00BF7149"/>
    <w:rsid w:val="00C03DAE"/>
    <w:rsid w:val="00C03E2C"/>
    <w:rsid w:val="00C04175"/>
    <w:rsid w:val="00C06515"/>
    <w:rsid w:val="00C07535"/>
    <w:rsid w:val="00C118EB"/>
    <w:rsid w:val="00C17A43"/>
    <w:rsid w:val="00C17EED"/>
    <w:rsid w:val="00C25298"/>
    <w:rsid w:val="00C25A54"/>
    <w:rsid w:val="00C25FC9"/>
    <w:rsid w:val="00C407F6"/>
    <w:rsid w:val="00C5622C"/>
    <w:rsid w:val="00C6090B"/>
    <w:rsid w:val="00C62EB5"/>
    <w:rsid w:val="00C62FCB"/>
    <w:rsid w:val="00C63A2D"/>
    <w:rsid w:val="00C63A83"/>
    <w:rsid w:val="00C65391"/>
    <w:rsid w:val="00C7642F"/>
    <w:rsid w:val="00C77E0A"/>
    <w:rsid w:val="00C80306"/>
    <w:rsid w:val="00C80FB1"/>
    <w:rsid w:val="00C836CE"/>
    <w:rsid w:val="00C83F03"/>
    <w:rsid w:val="00C841B5"/>
    <w:rsid w:val="00C9053E"/>
    <w:rsid w:val="00C94AE6"/>
    <w:rsid w:val="00CA048E"/>
    <w:rsid w:val="00CA151F"/>
    <w:rsid w:val="00CA2B85"/>
    <w:rsid w:val="00CA2FD1"/>
    <w:rsid w:val="00CA7BD6"/>
    <w:rsid w:val="00CB7C23"/>
    <w:rsid w:val="00CD2D07"/>
    <w:rsid w:val="00CD63F4"/>
    <w:rsid w:val="00CD7A7C"/>
    <w:rsid w:val="00CE2D3B"/>
    <w:rsid w:val="00CE32A5"/>
    <w:rsid w:val="00CE3F21"/>
    <w:rsid w:val="00CE7016"/>
    <w:rsid w:val="00CF0065"/>
    <w:rsid w:val="00CF0B93"/>
    <w:rsid w:val="00D0146F"/>
    <w:rsid w:val="00D064B7"/>
    <w:rsid w:val="00D10BE2"/>
    <w:rsid w:val="00D22E61"/>
    <w:rsid w:val="00D2681F"/>
    <w:rsid w:val="00D2720F"/>
    <w:rsid w:val="00D35816"/>
    <w:rsid w:val="00D438F9"/>
    <w:rsid w:val="00D43C11"/>
    <w:rsid w:val="00D44510"/>
    <w:rsid w:val="00D45D0A"/>
    <w:rsid w:val="00D469C7"/>
    <w:rsid w:val="00D472C2"/>
    <w:rsid w:val="00D53CAE"/>
    <w:rsid w:val="00D57B50"/>
    <w:rsid w:val="00D60E46"/>
    <w:rsid w:val="00D61D84"/>
    <w:rsid w:val="00D6253B"/>
    <w:rsid w:val="00D65E51"/>
    <w:rsid w:val="00D75E2A"/>
    <w:rsid w:val="00D76E21"/>
    <w:rsid w:val="00D83365"/>
    <w:rsid w:val="00D868CB"/>
    <w:rsid w:val="00D94F73"/>
    <w:rsid w:val="00D96B38"/>
    <w:rsid w:val="00D97BD5"/>
    <w:rsid w:val="00DA1A79"/>
    <w:rsid w:val="00DA6057"/>
    <w:rsid w:val="00DB122A"/>
    <w:rsid w:val="00DB1AC2"/>
    <w:rsid w:val="00DB3E1F"/>
    <w:rsid w:val="00DB61A7"/>
    <w:rsid w:val="00DC3114"/>
    <w:rsid w:val="00DD436E"/>
    <w:rsid w:val="00DD4B35"/>
    <w:rsid w:val="00DD5ECD"/>
    <w:rsid w:val="00DD6EFC"/>
    <w:rsid w:val="00DE35C1"/>
    <w:rsid w:val="00DE3AF5"/>
    <w:rsid w:val="00DE4DEE"/>
    <w:rsid w:val="00DF0FF2"/>
    <w:rsid w:val="00DF30BB"/>
    <w:rsid w:val="00DF4B14"/>
    <w:rsid w:val="00E03F11"/>
    <w:rsid w:val="00E04454"/>
    <w:rsid w:val="00E05491"/>
    <w:rsid w:val="00E06DA8"/>
    <w:rsid w:val="00E12A5F"/>
    <w:rsid w:val="00E13BEC"/>
    <w:rsid w:val="00E1653C"/>
    <w:rsid w:val="00E17766"/>
    <w:rsid w:val="00E215B6"/>
    <w:rsid w:val="00E23E74"/>
    <w:rsid w:val="00E31E81"/>
    <w:rsid w:val="00E31F51"/>
    <w:rsid w:val="00E33312"/>
    <w:rsid w:val="00E33F33"/>
    <w:rsid w:val="00E50998"/>
    <w:rsid w:val="00E51FE6"/>
    <w:rsid w:val="00E55F06"/>
    <w:rsid w:val="00E56B10"/>
    <w:rsid w:val="00E66C01"/>
    <w:rsid w:val="00E7250B"/>
    <w:rsid w:val="00E72B18"/>
    <w:rsid w:val="00E75BD9"/>
    <w:rsid w:val="00E84E42"/>
    <w:rsid w:val="00E87020"/>
    <w:rsid w:val="00E913A6"/>
    <w:rsid w:val="00E92C82"/>
    <w:rsid w:val="00E94601"/>
    <w:rsid w:val="00EA0667"/>
    <w:rsid w:val="00EA588F"/>
    <w:rsid w:val="00EB2950"/>
    <w:rsid w:val="00EB4B30"/>
    <w:rsid w:val="00EB7FC4"/>
    <w:rsid w:val="00ED0937"/>
    <w:rsid w:val="00ED14E1"/>
    <w:rsid w:val="00ED1BEC"/>
    <w:rsid w:val="00ED2716"/>
    <w:rsid w:val="00ED43CA"/>
    <w:rsid w:val="00ED5468"/>
    <w:rsid w:val="00EE5806"/>
    <w:rsid w:val="00EF5268"/>
    <w:rsid w:val="00F027F7"/>
    <w:rsid w:val="00F029D2"/>
    <w:rsid w:val="00F02ECF"/>
    <w:rsid w:val="00F03985"/>
    <w:rsid w:val="00F03B6E"/>
    <w:rsid w:val="00F058CE"/>
    <w:rsid w:val="00F12569"/>
    <w:rsid w:val="00F130B9"/>
    <w:rsid w:val="00F21CBB"/>
    <w:rsid w:val="00F23879"/>
    <w:rsid w:val="00F248C1"/>
    <w:rsid w:val="00F24CEB"/>
    <w:rsid w:val="00F33EEB"/>
    <w:rsid w:val="00F35C58"/>
    <w:rsid w:val="00F36763"/>
    <w:rsid w:val="00F429C2"/>
    <w:rsid w:val="00F459CC"/>
    <w:rsid w:val="00F45EA6"/>
    <w:rsid w:val="00F47CB7"/>
    <w:rsid w:val="00F51B0C"/>
    <w:rsid w:val="00F62EA8"/>
    <w:rsid w:val="00F63ADB"/>
    <w:rsid w:val="00F66AAB"/>
    <w:rsid w:val="00F74F95"/>
    <w:rsid w:val="00F77A5E"/>
    <w:rsid w:val="00F80663"/>
    <w:rsid w:val="00F84769"/>
    <w:rsid w:val="00F87F0E"/>
    <w:rsid w:val="00F919B4"/>
    <w:rsid w:val="00F95F98"/>
    <w:rsid w:val="00F97FF0"/>
    <w:rsid w:val="00FA17D0"/>
    <w:rsid w:val="00FA3516"/>
    <w:rsid w:val="00FA3AB2"/>
    <w:rsid w:val="00FA5F4F"/>
    <w:rsid w:val="00FA69A0"/>
    <w:rsid w:val="00FC3454"/>
    <w:rsid w:val="00FC3688"/>
    <w:rsid w:val="00FC70E1"/>
    <w:rsid w:val="00FD1C97"/>
    <w:rsid w:val="00FD2468"/>
    <w:rsid w:val="00FE2D93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71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D2D"/>
  </w:style>
  <w:style w:type="paragraph" w:styleId="Piedepgina">
    <w:name w:val="footer"/>
    <w:basedOn w:val="Normal"/>
    <w:link w:val="PiedepginaCar"/>
    <w:uiPriority w:val="99"/>
    <w:unhideWhenUsed/>
    <w:rsid w:val="0074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D2D"/>
  </w:style>
  <w:style w:type="table" w:styleId="Tablaconcuadrcula">
    <w:name w:val="Table Grid"/>
    <w:basedOn w:val="Tablanormal"/>
    <w:uiPriority w:val="59"/>
    <w:rsid w:val="00A94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71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D2D"/>
  </w:style>
  <w:style w:type="paragraph" w:styleId="Piedepgina">
    <w:name w:val="footer"/>
    <w:basedOn w:val="Normal"/>
    <w:link w:val="PiedepginaCar"/>
    <w:uiPriority w:val="99"/>
    <w:unhideWhenUsed/>
    <w:rsid w:val="0074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D2D"/>
  </w:style>
  <w:style w:type="table" w:styleId="Tablaconcuadrcula">
    <w:name w:val="Table Grid"/>
    <w:basedOn w:val="Tablanormal"/>
    <w:uiPriority w:val="59"/>
    <w:rsid w:val="00A94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2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47A6E-A149-48E6-BA6C-A1BB0B33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2041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Macay</Company>
  <LinksUpToDate>false</LinksUpToDate>
  <CharactersWithSpaces>13244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Ramily</dc:creator>
  <cp:lastModifiedBy>Administracion</cp:lastModifiedBy>
  <cp:revision>6</cp:revision>
  <cp:lastPrinted>2015-01-08T17:38:00Z</cp:lastPrinted>
  <dcterms:created xsi:type="dcterms:W3CDTF">2016-06-22T18:07:00Z</dcterms:created>
  <dcterms:modified xsi:type="dcterms:W3CDTF">2016-06-24T17:02:00Z</dcterms:modified>
</cp:coreProperties>
</file>